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332" w:type="dxa"/>
        <w:tblBorders>
          <w:insideH w:val="single" w:sz="4" w:space="0" w:color="auto"/>
        </w:tblBorders>
        <w:tblLayout w:type="fixed"/>
        <w:tblLook w:val="0000" w:firstRow="0" w:lastRow="0" w:firstColumn="0" w:lastColumn="0" w:noHBand="0" w:noVBand="0"/>
      </w:tblPr>
      <w:tblGrid>
        <w:gridCol w:w="1350"/>
        <w:gridCol w:w="1170"/>
        <w:gridCol w:w="3150"/>
        <w:gridCol w:w="810"/>
        <w:gridCol w:w="3150"/>
      </w:tblGrid>
      <w:tr w:rsidR="00287E72" w:rsidTr="00CF7F6E">
        <w:tc>
          <w:tcPr>
            <w:tcW w:w="5670" w:type="dxa"/>
            <w:gridSpan w:val="3"/>
            <w:tcBorders>
              <w:top w:val="nil"/>
              <w:bottom w:val="nil"/>
            </w:tcBorders>
          </w:tcPr>
          <w:p w:rsidR="00287E72" w:rsidRDefault="00CC5EB9">
            <w:pPr>
              <w:pStyle w:val="BodyText"/>
              <w:spacing w:before="0"/>
            </w:pPr>
            <w:bookmarkStart w:id="0" w:name="_GoBack"/>
            <w:bookmarkEnd w:id="0"/>
            <w:r>
              <w:rPr>
                <w:noProof/>
                <w:lang w:val="en-CA" w:eastAsia="en-CA"/>
              </w:rPr>
              <w:drawing>
                <wp:inline distT="0" distB="0" distL="0" distR="0" wp14:anchorId="4BC952A1" wp14:editId="0573C202">
                  <wp:extent cx="1847850" cy="844550"/>
                  <wp:effectExtent l="0" t="0" r="0" b="0"/>
                  <wp:docPr id="1" name="Picture 1" descr="MR Legal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Legal Counsel"/>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1847850" cy="844550"/>
                          </a:xfrm>
                          <a:prstGeom prst="rect">
                            <a:avLst/>
                          </a:prstGeom>
                          <a:noFill/>
                          <a:ln>
                            <a:noFill/>
                          </a:ln>
                        </pic:spPr>
                      </pic:pic>
                    </a:graphicData>
                  </a:graphic>
                </wp:inline>
              </w:drawing>
            </w:r>
          </w:p>
        </w:tc>
        <w:tc>
          <w:tcPr>
            <w:tcW w:w="3960" w:type="dxa"/>
            <w:gridSpan w:val="2"/>
            <w:tcBorders>
              <w:top w:val="nil"/>
              <w:bottom w:val="nil"/>
            </w:tcBorders>
          </w:tcPr>
          <w:p w:rsidR="00287E72" w:rsidRDefault="00287E72" w:rsidP="00EA7FE7">
            <w:pPr>
              <w:spacing w:before="1080"/>
              <w:rPr>
                <w:sz w:val="24"/>
              </w:rPr>
            </w:pPr>
            <w:r>
              <w:rPr>
                <w:rFonts w:ascii="Humanst521 BT" w:hAnsi="Humanst521 BT"/>
                <w:b/>
                <w:sz w:val="24"/>
              </w:rPr>
              <w:t>Memorandum</w:t>
            </w:r>
          </w:p>
        </w:tc>
      </w:tr>
      <w:tr w:rsidR="00EA7FE7" w:rsidTr="00CF7F6E">
        <w:tblPrEx>
          <w:tblBorders>
            <w:insideH w:val="none" w:sz="0" w:space="0" w:color="auto"/>
          </w:tblBorders>
        </w:tblPrEx>
        <w:trPr>
          <w:gridBefore w:val="1"/>
          <w:wBefore w:w="1350" w:type="dxa"/>
          <w:cantSplit/>
        </w:trPr>
        <w:tc>
          <w:tcPr>
            <w:tcW w:w="1170" w:type="dxa"/>
          </w:tcPr>
          <w:p w:rsidR="00EA7FE7" w:rsidRDefault="00EA7FE7" w:rsidP="00EA7FE7">
            <w:pPr>
              <w:pStyle w:val="BodyText"/>
              <w:spacing w:before="720"/>
              <w:rPr>
                <w:rFonts w:ascii="Humanst521 BT" w:hAnsi="Humanst521 BT"/>
                <w:sz w:val="20"/>
              </w:rPr>
            </w:pPr>
            <w:r>
              <w:rPr>
                <w:rFonts w:ascii="Humanst521 BT" w:hAnsi="Humanst521 BT"/>
                <w:sz w:val="20"/>
              </w:rPr>
              <w:t>To:</w:t>
            </w:r>
          </w:p>
        </w:tc>
        <w:tc>
          <w:tcPr>
            <w:tcW w:w="3150" w:type="dxa"/>
          </w:tcPr>
          <w:p w:rsidR="00EA7FE7" w:rsidRDefault="002932C9" w:rsidP="00EA7FE7">
            <w:pPr>
              <w:pStyle w:val="BodyText"/>
              <w:spacing w:before="720"/>
              <w:jc w:val="left"/>
              <w:rPr>
                <w:rFonts w:ascii="Humanst521 BT" w:hAnsi="Humanst521 BT"/>
                <w:color w:val="000000"/>
                <w:sz w:val="20"/>
              </w:rPr>
            </w:pPr>
            <w:r>
              <w:rPr>
                <w:rFonts w:ascii="Humanst521 BT" w:hAnsi="Humanst521 BT"/>
                <w:color w:val="000000"/>
                <w:sz w:val="20"/>
              </w:rPr>
              <w:t>Alberta Medical Association</w:t>
            </w:r>
          </w:p>
        </w:tc>
        <w:tc>
          <w:tcPr>
            <w:tcW w:w="810" w:type="dxa"/>
          </w:tcPr>
          <w:p w:rsidR="00EA7FE7" w:rsidRDefault="00EA7FE7" w:rsidP="00EA7FE7">
            <w:pPr>
              <w:pStyle w:val="BodyText"/>
              <w:spacing w:before="720"/>
              <w:rPr>
                <w:rFonts w:ascii="Humanst521 BT" w:hAnsi="Humanst521 BT"/>
                <w:sz w:val="20"/>
              </w:rPr>
            </w:pPr>
            <w:r>
              <w:rPr>
                <w:rFonts w:ascii="Humanst521 BT" w:hAnsi="Humanst521 BT"/>
                <w:sz w:val="20"/>
              </w:rPr>
              <w:t>Date:</w:t>
            </w:r>
          </w:p>
        </w:tc>
        <w:bookmarkStart w:id="1" w:name="ReportDate"/>
        <w:tc>
          <w:tcPr>
            <w:tcW w:w="3150" w:type="dxa"/>
          </w:tcPr>
          <w:p w:rsidR="00EA7FE7" w:rsidRPr="004520B1" w:rsidRDefault="004520B1" w:rsidP="00EA7FE7">
            <w:pPr>
              <w:pStyle w:val="BodyText"/>
              <w:spacing w:before="720"/>
              <w:jc w:val="left"/>
              <w:rPr>
                <w:rFonts w:ascii="Humanst521 BT" w:hAnsi="Humanst521 BT"/>
                <w:color w:val="000000"/>
                <w:sz w:val="20"/>
              </w:rPr>
            </w:pPr>
            <w:r>
              <w:rPr>
                <w:rFonts w:ascii="Humanst521 BT" w:hAnsi="Humanst521 BT"/>
                <w:noProof/>
                <w:sz w:val="20"/>
              </w:rPr>
              <w:fldChar w:fldCharType="begin" w:fldLock="1"/>
            </w:r>
            <w:r>
              <w:rPr>
                <w:rFonts w:ascii="Humanst521 BT" w:hAnsi="Humanst521 BT"/>
                <w:noProof/>
                <w:sz w:val="20"/>
              </w:rPr>
              <w:instrText xml:space="preserve"> DATE \@ "MMMM d, yyyy" </w:instrText>
            </w:r>
            <w:r>
              <w:rPr>
                <w:rFonts w:ascii="Humanst521 BT" w:hAnsi="Humanst521 BT"/>
                <w:noProof/>
                <w:sz w:val="20"/>
              </w:rPr>
              <w:fldChar w:fldCharType="separate"/>
            </w:r>
            <w:r w:rsidR="0055487E">
              <w:rPr>
                <w:rFonts w:ascii="Humanst521 BT" w:hAnsi="Humanst521 BT"/>
                <w:noProof/>
                <w:sz w:val="20"/>
              </w:rPr>
              <w:t>February 9, 2016</w:t>
            </w:r>
            <w:r>
              <w:rPr>
                <w:rFonts w:ascii="Humanst521 BT" w:hAnsi="Humanst521 BT"/>
                <w:noProof/>
                <w:sz w:val="20"/>
              </w:rPr>
              <w:fldChar w:fldCharType="end"/>
            </w:r>
            <w:bookmarkEnd w:id="1"/>
          </w:p>
        </w:tc>
      </w:tr>
      <w:tr w:rsidR="00287E72" w:rsidTr="00CF7F6E">
        <w:tblPrEx>
          <w:tblBorders>
            <w:insideH w:val="none" w:sz="0" w:space="0" w:color="auto"/>
          </w:tblBorders>
        </w:tblPrEx>
        <w:trPr>
          <w:gridBefore w:val="1"/>
          <w:wBefore w:w="1350" w:type="dxa"/>
          <w:cantSplit/>
        </w:trPr>
        <w:tc>
          <w:tcPr>
            <w:tcW w:w="1170" w:type="dxa"/>
          </w:tcPr>
          <w:p w:rsidR="00287E72" w:rsidRDefault="00287E72">
            <w:pPr>
              <w:pStyle w:val="BodyText"/>
              <w:rPr>
                <w:rFonts w:ascii="Humanst521 BT" w:hAnsi="Humanst521 BT"/>
                <w:sz w:val="20"/>
              </w:rPr>
            </w:pPr>
            <w:r>
              <w:rPr>
                <w:rFonts w:ascii="Humanst521 BT" w:hAnsi="Humanst521 BT"/>
                <w:sz w:val="20"/>
              </w:rPr>
              <w:t>From:</w:t>
            </w:r>
          </w:p>
        </w:tc>
        <w:tc>
          <w:tcPr>
            <w:tcW w:w="3150" w:type="dxa"/>
          </w:tcPr>
          <w:p w:rsidR="00287E72" w:rsidRDefault="002932C9">
            <w:pPr>
              <w:pStyle w:val="BodyText"/>
              <w:jc w:val="left"/>
              <w:rPr>
                <w:rFonts w:ascii="Humanst521 BT" w:hAnsi="Humanst521 BT"/>
                <w:sz w:val="20"/>
              </w:rPr>
            </w:pPr>
            <w:r>
              <w:rPr>
                <w:rFonts w:ascii="Humanst521 BT" w:hAnsi="Humanst521 BT"/>
                <w:color w:val="000000"/>
                <w:sz w:val="20"/>
              </w:rPr>
              <w:t>Jon Rossall</w:t>
            </w:r>
          </w:p>
        </w:tc>
        <w:tc>
          <w:tcPr>
            <w:tcW w:w="810" w:type="dxa"/>
          </w:tcPr>
          <w:p w:rsidR="00287E72" w:rsidRDefault="00EA7FE7">
            <w:pPr>
              <w:pStyle w:val="BodyText"/>
              <w:rPr>
                <w:rFonts w:ascii="Humanst521 BT" w:hAnsi="Humanst521 BT"/>
                <w:sz w:val="20"/>
              </w:rPr>
            </w:pPr>
            <w:r>
              <w:rPr>
                <w:rFonts w:ascii="Humanst521 BT" w:hAnsi="Humanst521 BT"/>
                <w:sz w:val="20"/>
              </w:rPr>
              <w:t>File:</w:t>
            </w:r>
          </w:p>
        </w:tc>
        <w:tc>
          <w:tcPr>
            <w:tcW w:w="3150" w:type="dxa"/>
          </w:tcPr>
          <w:p w:rsidR="00287E72" w:rsidRDefault="002932C9">
            <w:pPr>
              <w:pStyle w:val="BodyText"/>
              <w:jc w:val="left"/>
              <w:rPr>
                <w:rFonts w:ascii="Humanst521 BT" w:hAnsi="Humanst521 BT"/>
                <w:sz w:val="20"/>
              </w:rPr>
            </w:pPr>
            <w:r>
              <w:rPr>
                <w:rFonts w:ascii="Humanst521 BT" w:hAnsi="Humanst521 BT"/>
                <w:color w:val="000000"/>
                <w:sz w:val="20"/>
              </w:rPr>
              <w:t>131319</w:t>
            </w:r>
          </w:p>
        </w:tc>
      </w:tr>
      <w:tr w:rsidR="00EA7FE7" w:rsidTr="009D0E65">
        <w:tblPrEx>
          <w:tblBorders>
            <w:insideH w:val="none" w:sz="0" w:space="0" w:color="auto"/>
          </w:tblBorders>
        </w:tblPrEx>
        <w:trPr>
          <w:gridBefore w:val="1"/>
          <w:wBefore w:w="1350" w:type="dxa"/>
        </w:trPr>
        <w:tc>
          <w:tcPr>
            <w:tcW w:w="1170" w:type="dxa"/>
          </w:tcPr>
          <w:p w:rsidR="00EA7FE7" w:rsidRPr="00EA7FE7" w:rsidRDefault="00EA7FE7" w:rsidP="00EA7FE7">
            <w:pPr>
              <w:pStyle w:val="BodyText"/>
              <w:rPr>
                <w:rFonts w:ascii="Humanst521 BT" w:hAnsi="Humanst521 BT"/>
                <w:sz w:val="20"/>
              </w:rPr>
            </w:pPr>
            <w:r w:rsidRPr="00EA7FE7">
              <w:rPr>
                <w:rFonts w:ascii="Humanst521 BT" w:hAnsi="Humanst521 BT"/>
                <w:sz w:val="20"/>
              </w:rPr>
              <w:t>Subject:</w:t>
            </w:r>
          </w:p>
        </w:tc>
        <w:tc>
          <w:tcPr>
            <w:tcW w:w="7110" w:type="dxa"/>
            <w:gridSpan w:val="3"/>
          </w:tcPr>
          <w:p w:rsidR="00EA7FE7" w:rsidRDefault="002932C9">
            <w:pPr>
              <w:pStyle w:val="BodyText"/>
              <w:jc w:val="left"/>
              <w:rPr>
                <w:rFonts w:ascii="Humanst521 BT" w:hAnsi="Humanst521 BT"/>
                <w:sz w:val="20"/>
              </w:rPr>
            </w:pPr>
            <w:r>
              <w:rPr>
                <w:rFonts w:ascii="Humanst521 BT" w:hAnsi="Humanst521 BT"/>
                <w:b/>
                <w:color w:val="000000"/>
                <w:sz w:val="20"/>
              </w:rPr>
              <w:t>PCN Information Management/Sharing Agreements</w:t>
            </w:r>
          </w:p>
        </w:tc>
      </w:tr>
      <w:tr w:rsidR="00287E72">
        <w:tblPrEx>
          <w:tblBorders>
            <w:insideH w:val="none" w:sz="0" w:space="0" w:color="auto"/>
          </w:tblBorders>
        </w:tblPrEx>
        <w:trPr>
          <w:gridBefore w:val="1"/>
          <w:wBefore w:w="1350" w:type="dxa"/>
          <w:cantSplit/>
        </w:trPr>
        <w:tc>
          <w:tcPr>
            <w:tcW w:w="8280" w:type="dxa"/>
            <w:gridSpan w:val="4"/>
            <w:tcBorders>
              <w:bottom w:val="single" w:sz="4" w:space="0" w:color="auto"/>
            </w:tcBorders>
          </w:tcPr>
          <w:p w:rsidR="00287E72" w:rsidRDefault="00287E72">
            <w:pPr>
              <w:pStyle w:val="BodyText"/>
              <w:rPr>
                <w:rFonts w:ascii="Humanst521 BT" w:hAnsi="Humanst521 BT"/>
                <w:sz w:val="20"/>
              </w:rPr>
            </w:pPr>
          </w:p>
        </w:tc>
      </w:tr>
    </w:tbl>
    <w:p w:rsidR="004F4EBD" w:rsidRPr="001F7DD2" w:rsidRDefault="00BB5BEE" w:rsidP="00D1547C">
      <w:pPr>
        <w:pStyle w:val="BodyText"/>
        <w:rPr>
          <w:b/>
        </w:rPr>
      </w:pPr>
      <w:r w:rsidRPr="001F7DD2">
        <w:rPr>
          <w:b/>
        </w:rPr>
        <w:t>I</w:t>
      </w:r>
      <w:r w:rsidRPr="001F7DD2">
        <w:rPr>
          <w:b/>
        </w:rPr>
        <w:tab/>
      </w:r>
      <w:r w:rsidR="002932C9" w:rsidRPr="001F7DD2">
        <w:rPr>
          <w:b/>
        </w:rPr>
        <w:t>Introduction</w:t>
      </w:r>
    </w:p>
    <w:p w:rsidR="002932C9" w:rsidRDefault="002932C9" w:rsidP="00630078">
      <w:pPr>
        <w:pStyle w:val="BodyText"/>
      </w:pPr>
      <w:r>
        <w:t xml:space="preserve">We have been asked by the AMA’s </w:t>
      </w:r>
      <w:r w:rsidR="004900F4">
        <w:t>PCN Program Management Office t</w:t>
      </w:r>
      <w:r>
        <w:t xml:space="preserve">o assist in reviewing the current PCN arrangements regarding </w:t>
      </w:r>
      <w:r w:rsidR="00B776F4">
        <w:t>patient and physician</w:t>
      </w:r>
      <w:r>
        <w:t xml:space="preserve"> information management, as well as the sharing of health information in the context of existing legislative and regulatory requirements, in order to provide advice regarding </w:t>
      </w:r>
      <w:r w:rsidR="003022E3">
        <w:t xml:space="preserve">the updating of </w:t>
      </w:r>
      <w:r>
        <w:t xml:space="preserve">contractual arrangements between </w:t>
      </w:r>
      <w:r w:rsidR="002D5023">
        <w:t>custodian</w:t>
      </w:r>
      <w:r>
        <w:t xml:space="preserve">s of that health information.  What follows </w:t>
      </w:r>
      <w:r w:rsidR="00B776F4">
        <w:t>is our analysis of the variety of arrangements currently in place in Alberta; an overview of legislative and regulatory requirements; a discussion of the impact of those requirements on the various PCN models operating in Alberta; and some recommendations regarding information sharing and management.</w:t>
      </w:r>
    </w:p>
    <w:p w:rsidR="002932C9" w:rsidRPr="001F7DD2" w:rsidRDefault="00BB5BEE" w:rsidP="00D1547C">
      <w:pPr>
        <w:pStyle w:val="BodyText"/>
        <w:rPr>
          <w:b/>
        </w:rPr>
      </w:pPr>
      <w:r w:rsidRPr="001F7DD2">
        <w:rPr>
          <w:b/>
        </w:rPr>
        <w:t>II.</w:t>
      </w:r>
      <w:r w:rsidRPr="001F7DD2">
        <w:rPr>
          <w:b/>
        </w:rPr>
        <w:tab/>
      </w:r>
      <w:r w:rsidR="002932C9" w:rsidRPr="001F7DD2">
        <w:rPr>
          <w:b/>
        </w:rPr>
        <w:t>Background/Facts</w:t>
      </w:r>
    </w:p>
    <w:p w:rsidR="002932C9" w:rsidRDefault="00D0057D" w:rsidP="00D1547C">
      <w:pPr>
        <w:pStyle w:val="BodyText"/>
      </w:pPr>
      <w:r>
        <w:t xml:space="preserve">Primary Care Networks </w:t>
      </w:r>
      <w:r w:rsidR="00074897">
        <w:t>were developed within Alberta as a result of the creation and funding of the Primary Care Initiative as a component of the 2003 Master Agreement Regarding the Tri-Lateral Relationship and Budget Management Process for Strategic Physician Agreements (“the Tri-Lateral Agreement”).  As of that point in time</w:t>
      </w:r>
      <w:r w:rsidR="00B776F4">
        <w:t>,</w:t>
      </w:r>
      <w:r w:rsidR="00074897">
        <w:t xml:space="preserve"> the </w:t>
      </w:r>
      <w:r w:rsidR="00074897" w:rsidRPr="00FD1B25">
        <w:rPr>
          <w:i/>
        </w:rPr>
        <w:t>Health Information Act</w:t>
      </w:r>
      <w:r w:rsidR="00074897">
        <w:t xml:space="preserve"> (“</w:t>
      </w:r>
      <w:r w:rsidR="00074897" w:rsidRPr="00FD1B25">
        <w:rPr>
          <w:i/>
        </w:rPr>
        <w:t>HIA</w:t>
      </w:r>
      <w:r w:rsidR="00074897">
        <w:t xml:space="preserve">”) was still in a stage of relative infancy, having been proclaimed into force on April 21, 2001.  Even so, the </w:t>
      </w:r>
      <w:r w:rsidR="00074897" w:rsidRPr="00FD1B25">
        <w:rPr>
          <w:i/>
        </w:rPr>
        <w:t>HIA</w:t>
      </w:r>
      <w:r w:rsidR="00074897">
        <w:t xml:space="preserve"> established the privacy framework for the gathering, use and disclosure of </w:t>
      </w:r>
      <w:r w:rsidR="00FD1B25">
        <w:t>h</w:t>
      </w:r>
      <w:r w:rsidR="00074897">
        <w:t xml:space="preserve">ealth </w:t>
      </w:r>
      <w:r w:rsidR="00FD1B25">
        <w:t>i</w:t>
      </w:r>
      <w:r w:rsidR="00074897">
        <w:t>nformation</w:t>
      </w:r>
      <w:r w:rsidR="00074897">
        <w:rPr>
          <w:rStyle w:val="FootnoteReference"/>
        </w:rPr>
        <w:footnoteReference w:id="1"/>
      </w:r>
      <w:r w:rsidR="00074897">
        <w:t xml:space="preserve"> by </w:t>
      </w:r>
      <w:r w:rsidR="00FD1B25">
        <w:t>c</w:t>
      </w:r>
      <w:r w:rsidR="002D5023">
        <w:t>ustodian</w:t>
      </w:r>
      <w:r w:rsidR="00074897">
        <w:t>s</w:t>
      </w:r>
      <w:r w:rsidR="002D6DAD">
        <w:rPr>
          <w:rStyle w:val="FootnoteReference"/>
        </w:rPr>
        <w:footnoteReference w:id="2"/>
      </w:r>
      <w:r w:rsidR="00074897">
        <w:t xml:space="preserve"> and </w:t>
      </w:r>
      <w:r w:rsidR="007C78CA">
        <w:t xml:space="preserve">their </w:t>
      </w:r>
      <w:r w:rsidR="00FD1B25">
        <w:t>a</w:t>
      </w:r>
      <w:r w:rsidR="00074897">
        <w:t>ffiliates</w:t>
      </w:r>
      <w:r w:rsidR="007C78CA">
        <w:rPr>
          <w:rStyle w:val="FootnoteReference"/>
        </w:rPr>
        <w:footnoteReference w:id="3"/>
      </w:r>
      <w:r w:rsidR="00074897">
        <w:t xml:space="preserve">, and the basic requirements for the sharing and management of </w:t>
      </w:r>
      <w:r w:rsidR="00FD1B25">
        <w:t>h</w:t>
      </w:r>
      <w:r w:rsidR="00074897">
        <w:t xml:space="preserve">ealth </w:t>
      </w:r>
      <w:r w:rsidR="00FD1B25">
        <w:t>i</w:t>
      </w:r>
      <w:r w:rsidR="00074897">
        <w:t>nformation.</w:t>
      </w:r>
    </w:p>
    <w:p w:rsidR="00EE3133" w:rsidRDefault="00EE3133" w:rsidP="00D1547C">
      <w:pPr>
        <w:pStyle w:val="BodyText"/>
      </w:pPr>
      <w:r>
        <w:t xml:space="preserve">While the security and management of patient information was one of the focuses as PCNs evolved in the mid-2000s, </w:t>
      </w:r>
      <w:r w:rsidR="001703F4">
        <w:t xml:space="preserve">the knowledge of how to deal with information sharing and management was not as sophisticated and detailed as is the case in 2015, hence the agreements put in place were inconsistent and in many cases, inadequate.  In addition, PCNs took on many different attributes, creating a variety of models of service provision.  In order </w:t>
      </w:r>
      <w:r w:rsidR="001703F4">
        <w:lastRenderedPageBreak/>
        <w:t xml:space="preserve">to properly address the current need for information sharing and management agreements, it is necessary to analyze the </w:t>
      </w:r>
      <w:r w:rsidR="00B776F4">
        <w:t>existing PCN</w:t>
      </w:r>
      <w:r w:rsidR="001703F4">
        <w:t xml:space="preserve"> models and address each need in that </w:t>
      </w:r>
      <w:r w:rsidR="001703F4" w:rsidRPr="001703F4">
        <w:t>conte</w:t>
      </w:r>
      <w:r w:rsidR="001703F4">
        <w:t>xt.</w:t>
      </w:r>
    </w:p>
    <w:p w:rsidR="001703F4" w:rsidRDefault="003022E3" w:rsidP="00D1547C">
      <w:pPr>
        <w:pStyle w:val="BodyText"/>
      </w:pPr>
      <w:r>
        <w:t>T</w:t>
      </w:r>
      <w:r w:rsidR="001703F4">
        <w:t>he following facts and assumptions are relevant to this analysis.</w:t>
      </w:r>
    </w:p>
    <w:p w:rsidR="00811315" w:rsidRDefault="001703F4" w:rsidP="001703F4">
      <w:pPr>
        <w:pStyle w:val="ListParagraph"/>
        <w:numPr>
          <w:ilvl w:val="0"/>
          <w:numId w:val="22"/>
        </w:numPr>
        <w:spacing w:before="240"/>
        <w:jc w:val="both"/>
      </w:pPr>
      <w:r w:rsidRPr="001703F4">
        <w:t xml:space="preserve">Each PCN will fit into one of the </w:t>
      </w:r>
      <w:r>
        <w:t xml:space="preserve">following </w:t>
      </w:r>
      <w:r w:rsidR="003022E3">
        <w:t>models</w:t>
      </w:r>
    </w:p>
    <w:p w:rsidR="001703F4" w:rsidRDefault="001703F4" w:rsidP="001703F4">
      <w:pPr>
        <w:pStyle w:val="ListParagraph"/>
        <w:numPr>
          <w:ilvl w:val="0"/>
          <w:numId w:val="23"/>
        </w:numPr>
        <w:spacing w:before="240"/>
        <w:jc w:val="both"/>
      </w:pPr>
      <w:r>
        <w:t>A centralized model (i.e. no member clinics) overseen by a Board composed of representatives from the Not-for-Profit Corporation</w:t>
      </w:r>
      <w:r w:rsidR="003057BD">
        <w:t xml:space="preserve"> (“NPC”)</w:t>
      </w:r>
      <w:r w:rsidR="006F577A">
        <w:t>.</w:t>
      </w:r>
    </w:p>
    <w:p w:rsidR="001703F4" w:rsidRDefault="001703F4" w:rsidP="001703F4">
      <w:pPr>
        <w:pStyle w:val="ListParagraph"/>
        <w:numPr>
          <w:ilvl w:val="0"/>
          <w:numId w:val="23"/>
        </w:numPr>
        <w:spacing w:before="240"/>
        <w:jc w:val="both"/>
      </w:pPr>
      <w:r>
        <w:t>A centralized model (i.e. no member clinics) overseen by a Board composed of NPC representatives as well as AHS representatives</w:t>
      </w:r>
      <w:r w:rsidR="006F577A">
        <w:t>.</w:t>
      </w:r>
    </w:p>
    <w:p w:rsidR="001703F4" w:rsidRDefault="001703F4" w:rsidP="001703F4">
      <w:pPr>
        <w:pStyle w:val="ListParagraph"/>
        <w:numPr>
          <w:ilvl w:val="0"/>
          <w:numId w:val="23"/>
        </w:numPr>
        <w:spacing w:before="240"/>
        <w:jc w:val="both"/>
      </w:pPr>
      <w:r>
        <w:t>A de-centralized model, with multiple clinics, overseen by a Board composed of representatives from the NPC</w:t>
      </w:r>
      <w:r w:rsidR="003057BD">
        <w:t>.</w:t>
      </w:r>
    </w:p>
    <w:p w:rsidR="001703F4" w:rsidRDefault="001703F4" w:rsidP="001703F4">
      <w:pPr>
        <w:pStyle w:val="ListParagraph"/>
        <w:numPr>
          <w:ilvl w:val="0"/>
          <w:numId w:val="23"/>
        </w:numPr>
        <w:spacing w:before="240"/>
        <w:jc w:val="both"/>
      </w:pPr>
      <w:r>
        <w:t>A de-centralized model, with multiple clinics, overseen by a Board composed of NPT representatives as well as AHS representatives.</w:t>
      </w:r>
    </w:p>
    <w:p w:rsidR="004900F4" w:rsidRDefault="004900F4" w:rsidP="001703F4">
      <w:pPr>
        <w:pStyle w:val="ListParagraph"/>
        <w:numPr>
          <w:ilvl w:val="0"/>
          <w:numId w:val="23"/>
        </w:numPr>
        <w:spacing w:before="240"/>
        <w:jc w:val="both"/>
      </w:pPr>
      <w:r>
        <w:t>A mixture of centralized office and de-centralized clinics, overseen by a Board composed of representatives from the NPC.</w:t>
      </w:r>
    </w:p>
    <w:p w:rsidR="004900F4" w:rsidRDefault="004900F4" w:rsidP="001703F4">
      <w:pPr>
        <w:pStyle w:val="ListParagraph"/>
        <w:numPr>
          <w:ilvl w:val="0"/>
          <w:numId w:val="23"/>
        </w:numPr>
        <w:spacing w:before="240"/>
        <w:jc w:val="both"/>
      </w:pPr>
      <w:r>
        <w:t>A mixture of centralized office and de-centralized clinics, overseen by a Board composed of NPT representatives as well as AHS representatives.</w:t>
      </w:r>
    </w:p>
    <w:p w:rsidR="00B776F4" w:rsidRDefault="00B776F4" w:rsidP="00B776F4">
      <w:pPr>
        <w:pStyle w:val="ListParagraph"/>
        <w:spacing w:before="240"/>
        <w:ind w:left="792"/>
        <w:jc w:val="both"/>
      </w:pPr>
    </w:p>
    <w:p w:rsidR="001703F4" w:rsidRDefault="003057BD" w:rsidP="001703F4">
      <w:pPr>
        <w:pStyle w:val="ListParagraph"/>
        <w:numPr>
          <w:ilvl w:val="0"/>
          <w:numId w:val="22"/>
        </w:numPr>
        <w:spacing w:before="240"/>
        <w:jc w:val="both"/>
      </w:pPr>
      <w:r>
        <w:t>The majority of these PCNs utilize staff employed by the PCN.</w:t>
      </w:r>
    </w:p>
    <w:p w:rsidR="00B776F4" w:rsidRDefault="00B776F4" w:rsidP="00B776F4">
      <w:pPr>
        <w:pStyle w:val="ListParagraph"/>
        <w:spacing w:before="240"/>
        <w:ind w:left="792"/>
        <w:jc w:val="both"/>
      </w:pPr>
    </w:p>
    <w:p w:rsidR="003377A6" w:rsidRDefault="004900F4" w:rsidP="001703F4">
      <w:pPr>
        <w:pStyle w:val="ListParagraph"/>
        <w:numPr>
          <w:ilvl w:val="0"/>
          <w:numId w:val="22"/>
        </w:numPr>
        <w:spacing w:before="240"/>
        <w:jc w:val="both"/>
      </w:pPr>
      <w:r>
        <w:t xml:space="preserve">The majority of </w:t>
      </w:r>
      <w:r w:rsidR="00B776F4">
        <w:t xml:space="preserve">the PCNs utilize Electronic Medical Records (“EMR”s) and contract with </w:t>
      </w:r>
      <w:r w:rsidR="000338B3">
        <w:t>system providers (“Vendors”) to provide information management services</w:t>
      </w:r>
      <w:r w:rsidR="003377A6">
        <w:t>.</w:t>
      </w:r>
    </w:p>
    <w:p w:rsidR="003377A6" w:rsidRDefault="003377A6" w:rsidP="00811315">
      <w:pPr>
        <w:pStyle w:val="ListParagraph"/>
      </w:pPr>
    </w:p>
    <w:p w:rsidR="00B776F4" w:rsidRDefault="003377A6" w:rsidP="001703F4">
      <w:pPr>
        <w:pStyle w:val="ListParagraph"/>
        <w:numPr>
          <w:ilvl w:val="0"/>
          <w:numId w:val="22"/>
        </w:numPr>
        <w:spacing w:before="240"/>
        <w:jc w:val="both"/>
      </w:pPr>
      <w:r>
        <w:t>T</w:t>
      </w:r>
      <w:r w:rsidR="004900F4">
        <w:t xml:space="preserve">here are </w:t>
      </w:r>
      <w:r>
        <w:t xml:space="preserve">many PCNs </w:t>
      </w:r>
      <w:r w:rsidR="004900F4">
        <w:t>where PCN clinical staff are documenting directly in the clinic/physicians’ EMRs</w:t>
      </w:r>
      <w:r w:rsidR="00FD1B25">
        <w:t>.</w:t>
      </w:r>
      <w:r w:rsidR="000338B3">
        <w:t xml:space="preserve"> </w:t>
      </w:r>
    </w:p>
    <w:p w:rsidR="003057BD" w:rsidRDefault="003057BD" w:rsidP="003057BD">
      <w:pPr>
        <w:pStyle w:val="ListParagraph"/>
        <w:spacing w:before="240"/>
        <w:ind w:left="792"/>
        <w:jc w:val="both"/>
      </w:pPr>
    </w:p>
    <w:p w:rsidR="003057BD" w:rsidRDefault="003057BD" w:rsidP="001703F4">
      <w:pPr>
        <w:pStyle w:val="ListParagraph"/>
        <w:numPr>
          <w:ilvl w:val="0"/>
          <w:numId w:val="22"/>
        </w:numPr>
        <w:spacing w:before="240"/>
        <w:jc w:val="both"/>
      </w:pPr>
      <w:r>
        <w:t>There are various and diverse arrangements with Vendors relating to utilization of EMRs.</w:t>
      </w:r>
    </w:p>
    <w:p w:rsidR="00B776F4" w:rsidRDefault="00B776F4" w:rsidP="00B776F4">
      <w:pPr>
        <w:pStyle w:val="ListParagraph"/>
      </w:pPr>
    </w:p>
    <w:p w:rsidR="00B776F4" w:rsidRDefault="00B776F4" w:rsidP="001703F4">
      <w:pPr>
        <w:pStyle w:val="ListParagraph"/>
        <w:numPr>
          <w:ilvl w:val="0"/>
          <w:numId w:val="22"/>
        </w:numPr>
        <w:spacing w:before="240"/>
        <w:jc w:val="both"/>
      </w:pPr>
      <w:r>
        <w:t xml:space="preserve">There are </w:t>
      </w:r>
      <w:r w:rsidR="0048587E">
        <w:t xml:space="preserve">some scenarios where </w:t>
      </w:r>
      <w:r>
        <w:t xml:space="preserve">Information Management Agreements </w:t>
      </w:r>
      <w:r w:rsidR="0048587E">
        <w:t xml:space="preserve">are </w:t>
      </w:r>
      <w:r>
        <w:t>in place between the PCNs and the</w:t>
      </w:r>
      <w:r w:rsidR="000338B3">
        <w:t>ir</w:t>
      </w:r>
      <w:r>
        <w:t xml:space="preserve"> Vendors.</w:t>
      </w:r>
    </w:p>
    <w:p w:rsidR="003377A6" w:rsidRDefault="003377A6" w:rsidP="00811315">
      <w:pPr>
        <w:pStyle w:val="ListParagraph"/>
      </w:pPr>
    </w:p>
    <w:p w:rsidR="003377A6" w:rsidRDefault="003377A6" w:rsidP="001703F4">
      <w:pPr>
        <w:pStyle w:val="ListParagraph"/>
        <w:numPr>
          <w:ilvl w:val="0"/>
          <w:numId w:val="22"/>
        </w:numPr>
        <w:spacing w:before="240"/>
        <w:jc w:val="both"/>
      </w:pPr>
      <w:r>
        <w:t>In addition, there are Information Management Agreements in place between the member clinics and their Vendors.</w:t>
      </w:r>
    </w:p>
    <w:p w:rsidR="000338B3" w:rsidRDefault="000338B3" w:rsidP="000338B3">
      <w:pPr>
        <w:pStyle w:val="ListParagraph"/>
      </w:pPr>
    </w:p>
    <w:p w:rsidR="000338B3" w:rsidRDefault="000338B3" w:rsidP="001703F4">
      <w:pPr>
        <w:pStyle w:val="ListParagraph"/>
        <w:numPr>
          <w:ilvl w:val="0"/>
          <w:numId w:val="22"/>
        </w:numPr>
        <w:spacing w:before="240"/>
        <w:jc w:val="both"/>
      </w:pPr>
      <w:r w:rsidRPr="00475722">
        <w:rPr>
          <w:color w:val="000000"/>
          <w:szCs w:val="22"/>
          <w:lang w:val="en-CA" w:eastAsia="en-CA"/>
        </w:rPr>
        <w:t xml:space="preserve">The patient health records in an EMR are records generated as the result of </w:t>
      </w:r>
      <w:r>
        <w:rPr>
          <w:color w:val="000000"/>
          <w:szCs w:val="22"/>
          <w:lang w:val="en-CA" w:eastAsia="en-CA"/>
        </w:rPr>
        <w:t xml:space="preserve">the provision of diagnostic, treatment or care </w:t>
      </w:r>
      <w:r w:rsidRPr="00475722">
        <w:rPr>
          <w:color w:val="000000"/>
          <w:szCs w:val="22"/>
          <w:lang w:val="en-CA" w:eastAsia="en-CA"/>
        </w:rPr>
        <w:t>services</w:t>
      </w:r>
      <w:r>
        <w:rPr>
          <w:color w:val="000000"/>
          <w:szCs w:val="22"/>
          <w:lang w:val="en-CA" w:eastAsia="en-CA"/>
        </w:rPr>
        <w:t>, or are “registration information</w:t>
      </w:r>
      <w:r>
        <w:rPr>
          <w:rStyle w:val="FootnoteReference"/>
          <w:color w:val="000000"/>
          <w:szCs w:val="22"/>
          <w:lang w:val="en-CA" w:eastAsia="en-CA"/>
        </w:rPr>
        <w:footnoteReference w:id="4"/>
      </w:r>
      <w:r>
        <w:rPr>
          <w:color w:val="000000"/>
          <w:szCs w:val="22"/>
          <w:lang w:val="en-CA" w:eastAsia="en-CA"/>
        </w:rPr>
        <w:t>”</w:t>
      </w:r>
      <w:r w:rsidRPr="00475722">
        <w:rPr>
          <w:color w:val="000000"/>
          <w:szCs w:val="22"/>
          <w:lang w:val="en-CA" w:eastAsia="en-CA"/>
        </w:rPr>
        <w:t xml:space="preserve"> and therefore qualify as </w:t>
      </w:r>
      <w:r w:rsidR="00FD1B25">
        <w:rPr>
          <w:color w:val="000000"/>
          <w:szCs w:val="22"/>
          <w:lang w:val="en-CA" w:eastAsia="en-CA"/>
        </w:rPr>
        <w:t>h</w:t>
      </w:r>
      <w:r w:rsidRPr="00475722">
        <w:rPr>
          <w:color w:val="000000"/>
          <w:szCs w:val="22"/>
          <w:lang w:val="en-CA" w:eastAsia="en-CA"/>
        </w:rPr>
        <w:t xml:space="preserve">ealth </w:t>
      </w:r>
      <w:r w:rsidR="00FD1B25">
        <w:rPr>
          <w:color w:val="000000"/>
          <w:szCs w:val="22"/>
          <w:lang w:val="en-CA" w:eastAsia="en-CA"/>
        </w:rPr>
        <w:t>i</w:t>
      </w:r>
      <w:r w:rsidRPr="00475722">
        <w:rPr>
          <w:color w:val="000000"/>
          <w:szCs w:val="22"/>
          <w:lang w:val="en-CA" w:eastAsia="en-CA"/>
        </w:rPr>
        <w:t>nformation</w:t>
      </w:r>
      <w:r w:rsidR="003022E3">
        <w:rPr>
          <w:color w:val="000000"/>
          <w:szCs w:val="22"/>
          <w:lang w:val="en-CA" w:eastAsia="en-CA"/>
        </w:rPr>
        <w:t xml:space="preserve"> as that term is defined in the </w:t>
      </w:r>
      <w:r w:rsidR="003022E3" w:rsidRPr="003022E3">
        <w:rPr>
          <w:i/>
          <w:color w:val="000000"/>
          <w:szCs w:val="22"/>
          <w:lang w:val="en-CA" w:eastAsia="en-CA"/>
        </w:rPr>
        <w:t>HIA</w:t>
      </w:r>
      <w:r>
        <w:rPr>
          <w:color w:val="000000"/>
          <w:szCs w:val="22"/>
          <w:lang w:val="en-CA" w:eastAsia="en-CA"/>
        </w:rPr>
        <w:t>.</w:t>
      </w:r>
    </w:p>
    <w:p w:rsidR="003057BD" w:rsidRDefault="003057BD" w:rsidP="003057BD">
      <w:pPr>
        <w:pStyle w:val="ListParagraph"/>
      </w:pPr>
    </w:p>
    <w:p w:rsidR="001703F4" w:rsidRDefault="001703F4" w:rsidP="003057BD">
      <w:pPr>
        <w:pStyle w:val="ListParagraph"/>
        <w:numPr>
          <w:ilvl w:val="0"/>
          <w:numId w:val="22"/>
        </w:numPr>
        <w:spacing w:before="240"/>
        <w:jc w:val="both"/>
      </w:pPr>
      <w:r w:rsidRPr="001703F4">
        <w:t xml:space="preserve">In all PCN </w:t>
      </w:r>
      <w:r w:rsidR="003022E3">
        <w:t>models</w:t>
      </w:r>
      <w:r w:rsidRPr="001703F4">
        <w:t xml:space="preserve">, data is shared with </w:t>
      </w:r>
      <w:r w:rsidR="003057BD">
        <w:t xml:space="preserve">or disclosed to </w:t>
      </w:r>
      <w:r w:rsidR="000338B3">
        <w:t>non-</w:t>
      </w:r>
      <w:r w:rsidR="002D5023">
        <w:t>custodian</w:t>
      </w:r>
      <w:r w:rsidR="000338B3">
        <w:t xml:space="preserve"> </w:t>
      </w:r>
      <w:r w:rsidRPr="001703F4">
        <w:t>third parties</w:t>
      </w:r>
      <w:r w:rsidR="000338B3">
        <w:t xml:space="preserve"> </w:t>
      </w:r>
      <w:r w:rsidR="000338B3" w:rsidRPr="001703F4">
        <w:t>(i.e. executive directors, panel facilitators</w:t>
      </w:r>
      <w:r w:rsidR="004900F4">
        <w:t xml:space="preserve"> and evaluators</w:t>
      </w:r>
      <w:r w:rsidR="000338B3" w:rsidRPr="001703F4">
        <w:t>)</w:t>
      </w:r>
      <w:r w:rsidR="003022E3">
        <w:t xml:space="preserve"> for the purpose of business management, assessment and quality control</w:t>
      </w:r>
      <w:r w:rsidR="00B776F4">
        <w:t xml:space="preserve"> with the knowledge and consent of physicians</w:t>
      </w:r>
      <w:r w:rsidR="000338B3">
        <w:t xml:space="preserve"> working in the PCN</w:t>
      </w:r>
      <w:r w:rsidRPr="001703F4">
        <w:t xml:space="preserve">. </w:t>
      </w:r>
    </w:p>
    <w:p w:rsidR="00B776F4" w:rsidRDefault="00B776F4" w:rsidP="00B776F4">
      <w:pPr>
        <w:pStyle w:val="ListParagraph"/>
      </w:pPr>
    </w:p>
    <w:p w:rsidR="00B776F4" w:rsidRDefault="00B776F4" w:rsidP="00B776F4">
      <w:pPr>
        <w:pStyle w:val="ListParagraph"/>
        <w:numPr>
          <w:ilvl w:val="0"/>
          <w:numId w:val="22"/>
        </w:numPr>
        <w:spacing w:before="240"/>
        <w:jc w:val="both"/>
      </w:pPr>
      <w:r w:rsidRPr="001703F4">
        <w:t>Patients have not given their express consent to th</w:t>
      </w:r>
      <w:r w:rsidR="003022E3">
        <w:t>at</w:t>
      </w:r>
      <w:r w:rsidRPr="001703F4">
        <w:t xml:space="preserve"> use</w:t>
      </w:r>
      <w:r>
        <w:t xml:space="preserve"> or disclosure</w:t>
      </w:r>
      <w:r w:rsidRPr="001703F4">
        <w:t xml:space="preserve"> of their information</w:t>
      </w:r>
      <w:r w:rsidR="00F564BE">
        <w:t xml:space="preserve"> described in #9 supra</w:t>
      </w:r>
      <w:r w:rsidRPr="001703F4">
        <w:t xml:space="preserve">.  </w:t>
      </w:r>
    </w:p>
    <w:p w:rsidR="003057BD" w:rsidRDefault="003057BD" w:rsidP="003057BD">
      <w:pPr>
        <w:pStyle w:val="ListParagraph"/>
      </w:pPr>
    </w:p>
    <w:p w:rsidR="003057BD" w:rsidRPr="001703F4" w:rsidRDefault="003057BD" w:rsidP="003057BD">
      <w:pPr>
        <w:pStyle w:val="ListParagraph"/>
        <w:numPr>
          <w:ilvl w:val="0"/>
          <w:numId w:val="22"/>
        </w:numPr>
        <w:spacing w:before="240"/>
        <w:jc w:val="both"/>
      </w:pPr>
      <w:r w:rsidRPr="001703F4">
        <w:t>Data shar</w:t>
      </w:r>
      <w:r w:rsidR="00B776F4">
        <w:t>ed or disclosed</w:t>
      </w:r>
      <w:r w:rsidRPr="001703F4">
        <w:t xml:space="preserve"> is either patient level identifiable or anonymized. </w:t>
      </w:r>
    </w:p>
    <w:p w:rsidR="003057BD" w:rsidRDefault="003057BD" w:rsidP="003057BD">
      <w:pPr>
        <w:pStyle w:val="ListParagraph"/>
      </w:pPr>
    </w:p>
    <w:p w:rsidR="001703F4" w:rsidRDefault="001703F4" w:rsidP="003057BD">
      <w:pPr>
        <w:pStyle w:val="ListParagraph"/>
        <w:numPr>
          <w:ilvl w:val="0"/>
          <w:numId w:val="22"/>
        </w:numPr>
        <w:spacing w:before="240"/>
        <w:jc w:val="both"/>
      </w:pPr>
      <w:r w:rsidRPr="001703F4">
        <w:t xml:space="preserve">In </w:t>
      </w:r>
      <w:r w:rsidR="004900F4">
        <w:t>most</w:t>
      </w:r>
      <w:r w:rsidRPr="001703F4">
        <w:t xml:space="preserve"> PCN scenarios, the PCN staff collect</w:t>
      </w:r>
      <w:r w:rsidR="00B776F4">
        <w:t>s</w:t>
      </w:r>
      <w:r w:rsidRPr="001703F4">
        <w:t>, code</w:t>
      </w:r>
      <w:r w:rsidR="00B776F4">
        <w:t>s</w:t>
      </w:r>
      <w:r w:rsidRPr="001703F4">
        <w:t>, and manipulate</w:t>
      </w:r>
      <w:r w:rsidR="00B776F4">
        <w:t>s</w:t>
      </w:r>
      <w:r w:rsidRPr="001703F4">
        <w:t xml:space="preserve"> patient level data from clinics in the PCN.</w:t>
      </w:r>
    </w:p>
    <w:p w:rsidR="00BB7A79" w:rsidRDefault="00BB7A79" w:rsidP="00811315">
      <w:pPr>
        <w:pStyle w:val="ListParagraph"/>
      </w:pPr>
    </w:p>
    <w:p w:rsidR="00BB7A79" w:rsidRDefault="0048587E" w:rsidP="003057BD">
      <w:pPr>
        <w:pStyle w:val="ListParagraph"/>
        <w:numPr>
          <w:ilvl w:val="0"/>
          <w:numId w:val="22"/>
        </w:numPr>
        <w:spacing w:before="240"/>
        <w:jc w:val="both"/>
      </w:pPr>
      <w:r>
        <w:t>It is common for</w:t>
      </w:r>
      <w:r w:rsidR="00BB7A79">
        <w:t xml:space="preserve"> PCN</w:t>
      </w:r>
      <w:r>
        <w:t>-employed</w:t>
      </w:r>
      <w:r w:rsidR="00BB7A79">
        <w:t xml:space="preserve"> </w:t>
      </w:r>
      <w:r>
        <w:t xml:space="preserve">clinical </w:t>
      </w:r>
      <w:r w:rsidR="00BB7A79">
        <w:t>staff</w:t>
      </w:r>
      <w:r>
        <w:t>, such as dieticians, rehabilitation specialists or other health professionals to</w:t>
      </w:r>
      <w:r w:rsidR="00BB7A79">
        <w:t xml:space="preserve"> visit </w:t>
      </w:r>
      <w:r>
        <w:t xml:space="preserve">member </w:t>
      </w:r>
      <w:r w:rsidR="00BB7A79">
        <w:t>clinics</w:t>
      </w:r>
      <w:r>
        <w:t xml:space="preserve"> on a rotational basis.  When this occurs, these health professionals will be acting as a</w:t>
      </w:r>
      <w:r w:rsidR="00EA636B">
        <w:t xml:space="preserve">ffiliates of the </w:t>
      </w:r>
      <w:r w:rsidR="004F688F">
        <w:t>c</w:t>
      </w:r>
      <w:r w:rsidR="00EA636B">
        <w:t>ustodian</w:t>
      </w:r>
      <w:r w:rsidR="004F688F">
        <w:t>/</w:t>
      </w:r>
      <w:r w:rsidR="00EA636B">
        <w:t>physicians working in th</w:t>
      </w:r>
      <w:r>
        <w:t>ose</w:t>
      </w:r>
      <w:r w:rsidR="00EA636B">
        <w:t xml:space="preserve"> clinic</w:t>
      </w:r>
      <w:r>
        <w:t>s and are therefore entitled to access the health records and chart on the clinic EMR</w:t>
      </w:r>
      <w:r w:rsidR="00BB7A79">
        <w:t>.</w:t>
      </w:r>
    </w:p>
    <w:p w:rsidR="003057BD" w:rsidRDefault="003057BD" w:rsidP="003057BD">
      <w:pPr>
        <w:pStyle w:val="ListParagraph"/>
      </w:pPr>
    </w:p>
    <w:p w:rsidR="00B776F4" w:rsidRDefault="00B776F4" w:rsidP="003057BD">
      <w:pPr>
        <w:pStyle w:val="ListParagraph"/>
        <w:numPr>
          <w:ilvl w:val="0"/>
          <w:numId w:val="22"/>
        </w:numPr>
        <w:spacing w:before="240"/>
        <w:jc w:val="both"/>
      </w:pPr>
      <w:r>
        <w:t xml:space="preserve">Currently AHS is not receiving or accessing </w:t>
      </w:r>
      <w:r w:rsidR="004900F4">
        <w:t xml:space="preserve">patient identifiable </w:t>
      </w:r>
      <w:r>
        <w:t>information from the PCNs in the absence of information sharing or management agreements.</w:t>
      </w:r>
    </w:p>
    <w:p w:rsidR="003057BD" w:rsidRDefault="003057BD" w:rsidP="003057BD">
      <w:pPr>
        <w:pStyle w:val="ListParagraph"/>
      </w:pPr>
    </w:p>
    <w:p w:rsidR="001703F4" w:rsidRDefault="001703F4" w:rsidP="003057BD">
      <w:pPr>
        <w:pStyle w:val="ListParagraph"/>
        <w:numPr>
          <w:ilvl w:val="0"/>
          <w:numId w:val="22"/>
        </w:numPr>
        <w:spacing w:before="240"/>
        <w:jc w:val="both"/>
      </w:pPr>
      <w:r w:rsidRPr="001703F4">
        <w:t xml:space="preserve">Staff permission to access and the way </w:t>
      </w:r>
      <w:r w:rsidR="000338B3">
        <w:t>staff</w:t>
      </w:r>
      <w:r w:rsidRPr="001703F4">
        <w:t xml:space="preserve"> access</w:t>
      </w:r>
      <w:r w:rsidR="000338B3">
        <w:t>es</w:t>
      </w:r>
      <w:r w:rsidRPr="001703F4">
        <w:t xml:space="preserve"> the data </w:t>
      </w:r>
      <w:r w:rsidR="003057BD">
        <w:t xml:space="preserve">is addressed, to a greater or lesser extent, in employment </w:t>
      </w:r>
      <w:r w:rsidRPr="001703F4">
        <w:t>agreements.</w:t>
      </w:r>
    </w:p>
    <w:p w:rsidR="003057BD" w:rsidRDefault="003057BD" w:rsidP="003057BD">
      <w:pPr>
        <w:pStyle w:val="ListParagraph"/>
      </w:pPr>
    </w:p>
    <w:p w:rsidR="001703F4" w:rsidRDefault="001703F4" w:rsidP="003057BD">
      <w:pPr>
        <w:pStyle w:val="ListParagraph"/>
        <w:numPr>
          <w:ilvl w:val="0"/>
          <w:numId w:val="22"/>
        </w:numPr>
        <w:spacing w:before="240"/>
        <w:jc w:val="both"/>
      </w:pPr>
      <w:r w:rsidRPr="001703F4">
        <w:t xml:space="preserve">Disclosure of information </w:t>
      </w:r>
      <w:r w:rsidR="003057BD">
        <w:t>to the non-</w:t>
      </w:r>
      <w:r w:rsidR="002D5023">
        <w:t>custodian</w:t>
      </w:r>
      <w:r w:rsidR="003057BD">
        <w:t xml:space="preserve">s referenced in </w:t>
      </w:r>
      <w:proofErr w:type="gramStart"/>
      <w:r w:rsidR="003057BD">
        <w:t>item</w:t>
      </w:r>
      <w:r w:rsidR="00660227">
        <w:t xml:space="preserve">s </w:t>
      </w:r>
      <w:r w:rsidR="003057BD">
        <w:t xml:space="preserve"> #</w:t>
      </w:r>
      <w:proofErr w:type="gramEnd"/>
      <w:r w:rsidR="00660227">
        <w:t>6 and 7</w:t>
      </w:r>
      <w:r w:rsidR="003057BD">
        <w:t xml:space="preserve"> </w:t>
      </w:r>
      <w:r w:rsidRPr="001703F4">
        <w:t>is not for clinical treatment purposes, but rather for th</w:t>
      </w:r>
      <w:r w:rsidR="00F564BE">
        <w:t>ings like internal management purposes, quality improvemen</w:t>
      </w:r>
      <w:r w:rsidR="005C1CFD">
        <w:t>t</w:t>
      </w:r>
      <w:r w:rsidR="00F564BE">
        <w:t>, resource allocation, etc..</w:t>
      </w:r>
      <w:r w:rsidRPr="001703F4">
        <w:t xml:space="preserve"> </w:t>
      </w:r>
    </w:p>
    <w:p w:rsidR="0048587E" w:rsidRDefault="0048587E" w:rsidP="00811315">
      <w:pPr>
        <w:pStyle w:val="ListParagraph"/>
      </w:pPr>
    </w:p>
    <w:p w:rsidR="00BB7A79" w:rsidRDefault="00BB7A79" w:rsidP="003057BD">
      <w:pPr>
        <w:pStyle w:val="ListParagraph"/>
        <w:numPr>
          <w:ilvl w:val="0"/>
          <w:numId w:val="22"/>
        </w:numPr>
        <w:spacing w:before="240"/>
        <w:jc w:val="both"/>
      </w:pPr>
      <w:r>
        <w:rPr>
          <w:color w:val="000000"/>
          <w:szCs w:val="22"/>
          <w:lang w:val="en-CA" w:eastAsia="en-CA"/>
        </w:rPr>
        <w:t xml:space="preserve">It is arguable that employees of PCNs who </w:t>
      </w:r>
      <w:proofErr w:type="gramStart"/>
      <w:r>
        <w:rPr>
          <w:color w:val="000000"/>
          <w:szCs w:val="22"/>
          <w:lang w:val="en-CA" w:eastAsia="en-CA"/>
        </w:rPr>
        <w:t>collect,</w:t>
      </w:r>
      <w:proofErr w:type="gramEnd"/>
      <w:r>
        <w:rPr>
          <w:color w:val="000000"/>
          <w:szCs w:val="22"/>
          <w:lang w:val="en-CA" w:eastAsia="en-CA"/>
        </w:rPr>
        <w:t xml:space="preserve"> code and/or manipulate data for the purpose of use or disclosure by non-custodian third parties are also information managers.</w:t>
      </w:r>
    </w:p>
    <w:p w:rsidR="003057BD" w:rsidRDefault="003057BD" w:rsidP="003057BD">
      <w:pPr>
        <w:pStyle w:val="ListParagraph"/>
      </w:pPr>
    </w:p>
    <w:p w:rsidR="001703F4" w:rsidRDefault="003057BD" w:rsidP="003057BD">
      <w:pPr>
        <w:pStyle w:val="ListParagraph"/>
        <w:numPr>
          <w:ilvl w:val="0"/>
          <w:numId w:val="22"/>
        </w:numPr>
        <w:spacing w:before="240"/>
        <w:jc w:val="both"/>
      </w:pPr>
      <w:r>
        <w:t xml:space="preserve">Therefore, the sharing and management agreements must </w:t>
      </w:r>
      <w:r w:rsidR="001703F4" w:rsidRPr="001703F4">
        <w:t>deal with secondary use of information</w:t>
      </w:r>
      <w:r w:rsidR="00B776F4">
        <w:t>.</w:t>
      </w:r>
    </w:p>
    <w:p w:rsidR="00660227" w:rsidRDefault="00660227" w:rsidP="00811315">
      <w:pPr>
        <w:pStyle w:val="ListParagraph"/>
      </w:pPr>
    </w:p>
    <w:p w:rsidR="00660227" w:rsidRDefault="0048587E" w:rsidP="003057BD">
      <w:pPr>
        <w:pStyle w:val="ListParagraph"/>
        <w:numPr>
          <w:ilvl w:val="0"/>
          <w:numId w:val="22"/>
        </w:numPr>
        <w:spacing w:before="240"/>
        <w:jc w:val="both"/>
      </w:pPr>
      <w:r>
        <w:t xml:space="preserve">Historically, many custodians of </w:t>
      </w:r>
      <w:r w:rsidR="007111B7">
        <w:t>h</w:t>
      </w:r>
      <w:r>
        <w:t xml:space="preserve">ealth </w:t>
      </w:r>
      <w:r w:rsidR="007111B7">
        <w:t>i</w:t>
      </w:r>
      <w:r>
        <w:t>nformation have dealt with the issues of appropriate disclosure of information to third parties through the means of Disclosure Agreements.</w:t>
      </w:r>
    </w:p>
    <w:p w:rsidR="00217A5A" w:rsidRPr="001F7DD2" w:rsidRDefault="00BB5BEE" w:rsidP="000F0506">
      <w:pPr>
        <w:pStyle w:val="BodyText"/>
        <w:rPr>
          <w:b/>
        </w:rPr>
      </w:pPr>
      <w:r w:rsidRPr="001F7DD2">
        <w:rPr>
          <w:b/>
        </w:rPr>
        <w:t>III.</w:t>
      </w:r>
      <w:r w:rsidRPr="001F7DD2">
        <w:rPr>
          <w:b/>
        </w:rPr>
        <w:tab/>
      </w:r>
      <w:r w:rsidR="00217A5A" w:rsidRPr="001F7DD2">
        <w:rPr>
          <w:b/>
        </w:rPr>
        <w:t>Role of the Custodian</w:t>
      </w:r>
    </w:p>
    <w:p w:rsidR="00217A5A" w:rsidRPr="00217A5A" w:rsidRDefault="00217A5A" w:rsidP="000F0506">
      <w:pPr>
        <w:spacing w:before="240" w:after="120"/>
      </w:pPr>
      <w:r w:rsidRPr="00217A5A">
        <w:t xml:space="preserve">All of this is in the context of the custodial responsibilities of the physicians practicing in PCNs.  Alberta’s </w:t>
      </w:r>
      <w:r w:rsidR="006F577A">
        <w:rPr>
          <w:i/>
        </w:rPr>
        <w:t>HIA</w:t>
      </w:r>
      <w:r w:rsidRPr="00217A5A">
        <w:t xml:space="preserve"> places a number of duties on the shoulders of </w:t>
      </w:r>
      <w:r w:rsidR="004F688F">
        <w:t>c</w:t>
      </w:r>
      <w:r w:rsidRPr="00217A5A">
        <w:t>ustodians</w:t>
      </w:r>
      <w:r w:rsidRPr="00217A5A">
        <w:rPr>
          <w:position w:val="6"/>
          <w:sz w:val="16"/>
        </w:rPr>
        <w:footnoteReference w:id="5"/>
      </w:r>
      <w:r w:rsidRPr="00217A5A">
        <w:t>.  Those duties include:</w:t>
      </w:r>
    </w:p>
    <w:p w:rsidR="00217A5A" w:rsidRPr="00217A5A" w:rsidRDefault="00217A5A" w:rsidP="00217A5A">
      <w:pPr>
        <w:numPr>
          <w:ilvl w:val="0"/>
          <w:numId w:val="28"/>
        </w:numPr>
        <w:spacing w:before="240"/>
        <w:jc w:val="both"/>
      </w:pPr>
      <w:r w:rsidRPr="00217A5A">
        <w:t>The duty to collect, use or disclose health information with the highest degree of anonymity possible;</w:t>
      </w:r>
    </w:p>
    <w:p w:rsidR="00217A5A" w:rsidRPr="00217A5A" w:rsidRDefault="00217A5A" w:rsidP="00217A5A">
      <w:pPr>
        <w:numPr>
          <w:ilvl w:val="0"/>
          <w:numId w:val="28"/>
        </w:numPr>
        <w:spacing w:before="240"/>
        <w:jc w:val="both"/>
      </w:pPr>
      <w:r w:rsidRPr="00217A5A">
        <w:t>The duty to collect, use or disclose health information in the most limited manner necessary to achieve the desired purpose;</w:t>
      </w:r>
    </w:p>
    <w:p w:rsidR="00217A5A" w:rsidRPr="00217A5A" w:rsidRDefault="00217A5A" w:rsidP="00217A5A">
      <w:pPr>
        <w:numPr>
          <w:ilvl w:val="0"/>
          <w:numId w:val="28"/>
        </w:numPr>
        <w:spacing w:before="240"/>
        <w:jc w:val="both"/>
      </w:pPr>
      <w:r w:rsidRPr="00217A5A">
        <w:t>The duty to protect health in formation in that physician’s custody or control;</w:t>
      </w:r>
    </w:p>
    <w:p w:rsidR="00217A5A" w:rsidRPr="00217A5A" w:rsidRDefault="00217A5A" w:rsidP="00217A5A">
      <w:pPr>
        <w:numPr>
          <w:ilvl w:val="0"/>
          <w:numId w:val="28"/>
        </w:numPr>
        <w:spacing w:before="240"/>
        <w:jc w:val="both"/>
      </w:pPr>
      <w:r w:rsidRPr="00217A5A">
        <w:t>The duty to ensure the accuracy of health information;</w:t>
      </w:r>
    </w:p>
    <w:p w:rsidR="00217A5A" w:rsidRPr="00217A5A" w:rsidRDefault="00217A5A" w:rsidP="00217A5A">
      <w:pPr>
        <w:numPr>
          <w:ilvl w:val="0"/>
          <w:numId w:val="28"/>
        </w:numPr>
        <w:spacing w:before="240"/>
        <w:jc w:val="both"/>
      </w:pPr>
      <w:r w:rsidRPr="00217A5A">
        <w:t xml:space="preserve">The duty to identify responsible affiliates of the </w:t>
      </w:r>
      <w:r w:rsidR="007111B7">
        <w:t>c</w:t>
      </w:r>
      <w:r w:rsidRPr="00217A5A">
        <w:t>ustodian;</w:t>
      </w:r>
    </w:p>
    <w:p w:rsidR="00217A5A" w:rsidRPr="00217A5A" w:rsidRDefault="00217A5A" w:rsidP="00217A5A">
      <w:pPr>
        <w:numPr>
          <w:ilvl w:val="0"/>
          <w:numId w:val="28"/>
        </w:numPr>
        <w:spacing w:before="240"/>
        <w:jc w:val="both"/>
      </w:pPr>
      <w:r w:rsidRPr="00217A5A">
        <w:lastRenderedPageBreak/>
        <w:t xml:space="preserve">The duty to establish or adopt necessary policies and procedures to facilitate the implementation of responsibilities under the </w:t>
      </w:r>
      <w:r w:rsidRPr="000F0506">
        <w:rPr>
          <w:i/>
        </w:rPr>
        <w:t>HIA</w:t>
      </w:r>
      <w:r w:rsidRPr="00217A5A">
        <w:t>;</w:t>
      </w:r>
    </w:p>
    <w:p w:rsidR="00F564BE" w:rsidRDefault="00217A5A" w:rsidP="00217A5A">
      <w:pPr>
        <w:numPr>
          <w:ilvl w:val="0"/>
          <w:numId w:val="28"/>
        </w:numPr>
        <w:spacing w:before="240"/>
        <w:jc w:val="both"/>
      </w:pPr>
      <w:r w:rsidRPr="00217A5A">
        <w:t>The duty to prepare appropriate Privacy Impact Assessments</w:t>
      </w:r>
      <w:r w:rsidR="00F564BE">
        <w:t>; and</w:t>
      </w:r>
    </w:p>
    <w:p w:rsidR="00217A5A" w:rsidRPr="00217A5A" w:rsidRDefault="00F564BE" w:rsidP="00217A5A">
      <w:pPr>
        <w:numPr>
          <w:ilvl w:val="0"/>
          <w:numId w:val="28"/>
        </w:numPr>
        <w:spacing w:before="240"/>
        <w:jc w:val="both"/>
      </w:pPr>
      <w:r>
        <w:t>The duty to provide notification to patients regarding reasons for the collection of health information</w:t>
      </w:r>
    </w:p>
    <w:p w:rsidR="00217A5A" w:rsidRDefault="00217A5A" w:rsidP="00217A5A">
      <w:pPr>
        <w:pStyle w:val="BodyText"/>
        <w:rPr>
          <w:u w:val="single"/>
        </w:rPr>
      </w:pPr>
      <w:r w:rsidRPr="00217A5A">
        <w:t xml:space="preserve">Meeting these duties and obligations becomes more complex and demanding when </w:t>
      </w:r>
      <w:r w:rsidR="004F688F">
        <w:t>c</w:t>
      </w:r>
      <w:r w:rsidRPr="00217A5A">
        <w:t xml:space="preserve">ustodians share identifiable health information amongst themselves.  Custodians who share identifiable health information with other </w:t>
      </w:r>
      <w:r w:rsidR="004F688F">
        <w:t>c</w:t>
      </w:r>
      <w:r w:rsidRPr="00217A5A">
        <w:t xml:space="preserve">ustodians for secondary purposes (i.e. not treatment-related) should have agreements in place governing that sharing.  This is in accordance with article 15(b) of the College of Physicians and Surgeons of Alberta (“CPSA”)’s Standards of Practice.  </w:t>
      </w:r>
    </w:p>
    <w:p w:rsidR="002932C9" w:rsidRPr="001F7DD2" w:rsidRDefault="00BB5BEE" w:rsidP="00D1547C">
      <w:pPr>
        <w:pStyle w:val="BodyText"/>
        <w:rPr>
          <w:b/>
        </w:rPr>
      </w:pPr>
      <w:r w:rsidRPr="001F7DD2">
        <w:rPr>
          <w:b/>
        </w:rPr>
        <w:t>IV.</w:t>
      </w:r>
      <w:r w:rsidRPr="001F7DD2">
        <w:rPr>
          <w:b/>
        </w:rPr>
        <w:tab/>
      </w:r>
      <w:r w:rsidR="002932C9" w:rsidRPr="001F7DD2">
        <w:rPr>
          <w:b/>
        </w:rPr>
        <w:t>Relevant Legislation/Standards</w:t>
      </w:r>
    </w:p>
    <w:p w:rsidR="000338B3" w:rsidRDefault="000338B3" w:rsidP="000338B3">
      <w:pPr>
        <w:pStyle w:val="BodyText"/>
        <w:rPr>
          <w:lang w:val="en-CA" w:eastAsia="en-CA"/>
        </w:rPr>
      </w:pPr>
      <w:r>
        <w:rPr>
          <w:lang w:val="en-CA" w:eastAsia="en-CA"/>
        </w:rPr>
        <w:t xml:space="preserve">Information Management services are defined in the </w:t>
      </w:r>
      <w:r w:rsidRPr="00FD6DEA">
        <w:rPr>
          <w:i/>
          <w:lang w:val="en-CA" w:eastAsia="en-CA"/>
        </w:rPr>
        <w:t>HIA</w:t>
      </w:r>
      <w:r>
        <w:rPr>
          <w:lang w:val="en-CA" w:eastAsia="en-CA"/>
        </w:rPr>
        <w:t xml:space="preserve"> as including the processing, storage, retrieval or disposition of </w:t>
      </w:r>
      <w:r w:rsidR="003022E3">
        <w:rPr>
          <w:lang w:val="en-CA" w:eastAsia="en-CA"/>
        </w:rPr>
        <w:t>h</w:t>
      </w:r>
      <w:r>
        <w:rPr>
          <w:lang w:val="en-CA" w:eastAsia="en-CA"/>
        </w:rPr>
        <w:t xml:space="preserve">ealth </w:t>
      </w:r>
      <w:r w:rsidR="003022E3">
        <w:rPr>
          <w:lang w:val="en-CA" w:eastAsia="en-CA"/>
        </w:rPr>
        <w:t>i</w:t>
      </w:r>
      <w:r>
        <w:rPr>
          <w:lang w:val="en-CA" w:eastAsia="en-CA"/>
        </w:rPr>
        <w:t>nformation; the stripping, encoding or otherwise transform</w:t>
      </w:r>
      <w:r w:rsidR="003022E3">
        <w:rPr>
          <w:lang w:val="en-CA" w:eastAsia="en-CA"/>
        </w:rPr>
        <w:t>ing</w:t>
      </w:r>
      <w:r>
        <w:rPr>
          <w:lang w:val="en-CA" w:eastAsia="en-CA"/>
        </w:rPr>
        <w:t xml:space="preserve"> of individually identifying health information in order to create non-identifying health information; or the provision of information management or information technology services.</w:t>
      </w:r>
      <w:r>
        <w:rPr>
          <w:rStyle w:val="FootnoteReference"/>
          <w:lang w:val="en-CA" w:eastAsia="en-CA"/>
        </w:rPr>
        <w:footnoteReference w:id="6"/>
      </w:r>
      <w:r>
        <w:rPr>
          <w:lang w:val="en-CA" w:eastAsia="en-CA"/>
        </w:rPr>
        <w:t xml:space="preserve">  The definition is very broad</w:t>
      </w:r>
      <w:r w:rsidR="002D5023">
        <w:rPr>
          <w:lang w:val="en-CA" w:eastAsia="en-CA"/>
        </w:rPr>
        <w:t xml:space="preserve">.  </w:t>
      </w:r>
    </w:p>
    <w:p w:rsidR="00F564BE" w:rsidRPr="000338B3" w:rsidRDefault="00F564BE" w:rsidP="000338B3">
      <w:pPr>
        <w:pStyle w:val="BodyText"/>
        <w:rPr>
          <w:lang w:val="en-CA" w:eastAsia="en-CA"/>
        </w:rPr>
      </w:pPr>
      <w:r>
        <w:rPr>
          <w:lang w:val="en-CA" w:eastAsia="en-CA"/>
        </w:rPr>
        <w:t>It is important to note that by definition, Information Managers are affiliates of the custodians who appoint them.</w:t>
      </w:r>
    </w:p>
    <w:p w:rsidR="002932C9" w:rsidRPr="00475722" w:rsidRDefault="0048587E" w:rsidP="002D5023">
      <w:pPr>
        <w:autoSpaceDE w:val="0"/>
        <w:autoSpaceDN w:val="0"/>
        <w:adjustRightInd w:val="0"/>
        <w:spacing w:before="240"/>
        <w:jc w:val="both"/>
        <w:rPr>
          <w:color w:val="000000"/>
          <w:sz w:val="20"/>
          <w:lang w:val="en-CA" w:eastAsia="en-CA"/>
        </w:rPr>
      </w:pPr>
      <w:r>
        <w:rPr>
          <w:color w:val="000000"/>
          <w:szCs w:val="22"/>
          <w:lang w:val="en-CA" w:eastAsia="en-CA"/>
        </w:rPr>
        <w:t>As mentioned in the assumptions above, a</w:t>
      </w:r>
      <w:r w:rsidR="002932C9" w:rsidRPr="00475722">
        <w:rPr>
          <w:color w:val="000000"/>
          <w:szCs w:val="22"/>
          <w:lang w:val="en-CA" w:eastAsia="en-CA"/>
        </w:rPr>
        <w:t xml:space="preserve">n EMR vendor qualifies as an </w:t>
      </w:r>
      <w:r w:rsidR="002D5023">
        <w:rPr>
          <w:color w:val="000000"/>
          <w:szCs w:val="22"/>
          <w:lang w:val="en-CA" w:eastAsia="en-CA"/>
        </w:rPr>
        <w:t>information manager</w:t>
      </w:r>
      <w:r w:rsidR="002932C9" w:rsidRPr="00475722">
        <w:rPr>
          <w:color w:val="000000"/>
          <w:szCs w:val="22"/>
          <w:lang w:val="en-CA" w:eastAsia="en-CA"/>
        </w:rPr>
        <w:t xml:space="preserve">.  </w:t>
      </w:r>
      <w:r w:rsidR="002D5023">
        <w:rPr>
          <w:color w:val="000000"/>
          <w:szCs w:val="22"/>
          <w:lang w:val="en-CA" w:eastAsia="en-CA"/>
        </w:rPr>
        <w:t xml:space="preserve">However, it is </w:t>
      </w:r>
      <w:r>
        <w:rPr>
          <w:color w:val="000000"/>
          <w:szCs w:val="22"/>
          <w:lang w:val="en-CA" w:eastAsia="en-CA"/>
        </w:rPr>
        <w:t>likely the case</w:t>
      </w:r>
      <w:r w:rsidR="002D5023">
        <w:rPr>
          <w:color w:val="000000"/>
          <w:szCs w:val="22"/>
          <w:lang w:val="en-CA" w:eastAsia="en-CA"/>
        </w:rPr>
        <w:t xml:space="preserve"> that employees of PCNs who </w:t>
      </w:r>
      <w:proofErr w:type="gramStart"/>
      <w:r w:rsidR="002D5023">
        <w:rPr>
          <w:color w:val="000000"/>
          <w:szCs w:val="22"/>
          <w:lang w:val="en-CA" w:eastAsia="en-CA"/>
        </w:rPr>
        <w:t>collect,</w:t>
      </w:r>
      <w:proofErr w:type="gramEnd"/>
      <w:r w:rsidR="002D5023">
        <w:rPr>
          <w:color w:val="000000"/>
          <w:szCs w:val="22"/>
          <w:lang w:val="en-CA" w:eastAsia="en-CA"/>
        </w:rPr>
        <w:t xml:space="preserve"> code and/or manipulate data for the purpose of use or disclosure by non-custodian third parties are also </w:t>
      </w:r>
      <w:r w:rsidR="003022E3">
        <w:rPr>
          <w:color w:val="000000"/>
          <w:szCs w:val="22"/>
          <w:lang w:val="en-CA" w:eastAsia="en-CA"/>
        </w:rPr>
        <w:t>i</w:t>
      </w:r>
      <w:r w:rsidR="002D5023">
        <w:rPr>
          <w:color w:val="000000"/>
          <w:szCs w:val="22"/>
          <w:lang w:val="en-CA" w:eastAsia="en-CA"/>
        </w:rPr>
        <w:t>nformation managers.</w:t>
      </w:r>
    </w:p>
    <w:p w:rsidR="002932C9" w:rsidRDefault="002932C9" w:rsidP="002932C9">
      <w:pPr>
        <w:autoSpaceDE w:val="0"/>
        <w:autoSpaceDN w:val="0"/>
        <w:adjustRightInd w:val="0"/>
        <w:spacing w:before="240"/>
        <w:jc w:val="both"/>
        <w:rPr>
          <w:color w:val="000000"/>
          <w:szCs w:val="22"/>
          <w:lang w:val="en-CA" w:eastAsia="en-CA"/>
        </w:rPr>
      </w:pPr>
      <w:r w:rsidRPr="00475722">
        <w:rPr>
          <w:color w:val="000000"/>
          <w:szCs w:val="22"/>
          <w:lang w:val="en-CA" w:eastAsia="en-CA"/>
        </w:rPr>
        <w:t>As per s</w:t>
      </w:r>
      <w:r w:rsidR="00F817DA">
        <w:rPr>
          <w:color w:val="000000"/>
          <w:szCs w:val="22"/>
          <w:lang w:val="en-CA" w:eastAsia="en-CA"/>
        </w:rPr>
        <w:t>ection</w:t>
      </w:r>
      <w:r w:rsidRPr="00475722">
        <w:rPr>
          <w:color w:val="000000"/>
          <w:szCs w:val="22"/>
          <w:lang w:val="en-CA" w:eastAsia="en-CA"/>
        </w:rPr>
        <w:t xml:space="preserve"> 66(2), a </w:t>
      </w:r>
      <w:r w:rsidR="002D5023">
        <w:rPr>
          <w:color w:val="000000"/>
          <w:szCs w:val="22"/>
          <w:lang w:val="en-CA" w:eastAsia="en-CA"/>
        </w:rPr>
        <w:t>custodian</w:t>
      </w:r>
      <w:r w:rsidRPr="00475722">
        <w:rPr>
          <w:color w:val="000000"/>
          <w:szCs w:val="22"/>
          <w:lang w:val="en-CA" w:eastAsia="en-CA"/>
        </w:rPr>
        <w:t xml:space="preserve"> must enter into a written agreement with an </w:t>
      </w:r>
      <w:r w:rsidR="002D5023">
        <w:rPr>
          <w:color w:val="000000"/>
          <w:szCs w:val="22"/>
          <w:lang w:val="en-CA" w:eastAsia="en-CA"/>
        </w:rPr>
        <w:t>information manager</w:t>
      </w:r>
      <w:r w:rsidRPr="00475722">
        <w:rPr>
          <w:color w:val="000000"/>
          <w:szCs w:val="22"/>
          <w:lang w:val="en-CA" w:eastAsia="en-CA"/>
        </w:rPr>
        <w:t xml:space="preserve"> for the provision of any or all of the services described in subsection </w:t>
      </w:r>
      <w:r w:rsidR="002D5023">
        <w:rPr>
          <w:color w:val="000000"/>
          <w:szCs w:val="22"/>
          <w:lang w:val="en-CA" w:eastAsia="en-CA"/>
        </w:rPr>
        <w:t>66</w:t>
      </w:r>
      <w:r w:rsidRPr="00475722">
        <w:rPr>
          <w:color w:val="000000"/>
          <w:szCs w:val="22"/>
          <w:lang w:val="en-CA" w:eastAsia="en-CA"/>
        </w:rPr>
        <w:t>(1)</w:t>
      </w:r>
      <w:r w:rsidR="003022E3">
        <w:rPr>
          <w:color w:val="000000"/>
          <w:szCs w:val="22"/>
          <w:lang w:val="en-CA" w:eastAsia="en-CA"/>
        </w:rPr>
        <w:t>.  S</w:t>
      </w:r>
      <w:r w:rsidR="00F817DA">
        <w:rPr>
          <w:color w:val="000000"/>
          <w:szCs w:val="22"/>
          <w:lang w:val="en-CA" w:eastAsia="en-CA"/>
        </w:rPr>
        <w:t>ection</w:t>
      </w:r>
      <w:r w:rsidRPr="00475722">
        <w:rPr>
          <w:color w:val="000000"/>
          <w:szCs w:val="22"/>
          <w:lang w:val="en-CA" w:eastAsia="en-CA"/>
        </w:rPr>
        <w:t xml:space="preserve"> 66(3) dictates that </w:t>
      </w:r>
      <w:r w:rsidR="002D5023">
        <w:rPr>
          <w:color w:val="000000"/>
          <w:szCs w:val="22"/>
          <w:lang w:val="en-CA" w:eastAsia="en-CA"/>
        </w:rPr>
        <w:t>custodian</w:t>
      </w:r>
      <w:r w:rsidRPr="00475722">
        <w:rPr>
          <w:color w:val="000000"/>
          <w:szCs w:val="22"/>
          <w:lang w:val="en-CA" w:eastAsia="en-CA"/>
        </w:rPr>
        <w:t xml:space="preserve">s </w:t>
      </w:r>
      <w:r w:rsidR="002D5023">
        <w:rPr>
          <w:color w:val="000000"/>
          <w:szCs w:val="22"/>
          <w:lang w:val="en-CA" w:eastAsia="en-CA"/>
        </w:rPr>
        <w:t>may</w:t>
      </w:r>
      <w:r w:rsidRPr="00475722">
        <w:rPr>
          <w:color w:val="000000"/>
          <w:szCs w:val="22"/>
          <w:lang w:val="en-CA" w:eastAsia="en-CA"/>
        </w:rPr>
        <w:t xml:space="preserve"> only disclose </w:t>
      </w:r>
      <w:r w:rsidR="002D5023">
        <w:rPr>
          <w:color w:val="000000"/>
          <w:szCs w:val="22"/>
          <w:lang w:val="en-CA" w:eastAsia="en-CA"/>
        </w:rPr>
        <w:t>health</w:t>
      </w:r>
      <w:r w:rsidRPr="00475722">
        <w:rPr>
          <w:color w:val="000000"/>
          <w:szCs w:val="22"/>
          <w:lang w:val="en-CA" w:eastAsia="en-CA"/>
        </w:rPr>
        <w:t xml:space="preserve"> info</w:t>
      </w:r>
      <w:r w:rsidR="002D5023">
        <w:rPr>
          <w:color w:val="000000"/>
          <w:szCs w:val="22"/>
          <w:lang w:val="en-CA" w:eastAsia="en-CA"/>
        </w:rPr>
        <w:t>rma</w:t>
      </w:r>
      <w:r w:rsidR="00BE1222">
        <w:rPr>
          <w:color w:val="000000"/>
          <w:szCs w:val="22"/>
          <w:lang w:val="en-CA" w:eastAsia="en-CA"/>
        </w:rPr>
        <w:t>tion</w:t>
      </w:r>
      <w:r w:rsidRPr="00475722">
        <w:rPr>
          <w:color w:val="000000"/>
          <w:szCs w:val="22"/>
          <w:lang w:val="en-CA" w:eastAsia="en-CA"/>
        </w:rPr>
        <w:t xml:space="preserve"> to </w:t>
      </w:r>
      <w:r w:rsidR="002D5023">
        <w:rPr>
          <w:color w:val="000000"/>
          <w:szCs w:val="22"/>
          <w:lang w:val="en-CA" w:eastAsia="en-CA"/>
        </w:rPr>
        <w:t>information manager</w:t>
      </w:r>
      <w:r w:rsidRPr="00475722">
        <w:rPr>
          <w:color w:val="000000"/>
          <w:szCs w:val="22"/>
          <w:lang w:val="en-CA" w:eastAsia="en-CA"/>
        </w:rPr>
        <w:t xml:space="preserve">s once an </w:t>
      </w:r>
      <w:r w:rsidR="002D5023">
        <w:rPr>
          <w:color w:val="000000"/>
          <w:szCs w:val="22"/>
          <w:lang w:val="en-CA" w:eastAsia="en-CA"/>
        </w:rPr>
        <w:t>i</w:t>
      </w:r>
      <w:r w:rsidRPr="00475722">
        <w:rPr>
          <w:color w:val="000000"/>
          <w:szCs w:val="22"/>
          <w:lang w:val="en-CA" w:eastAsia="en-CA"/>
        </w:rPr>
        <w:t xml:space="preserve">nformation </w:t>
      </w:r>
      <w:r w:rsidR="002D5023">
        <w:rPr>
          <w:color w:val="000000"/>
          <w:szCs w:val="22"/>
          <w:lang w:val="en-CA" w:eastAsia="en-CA"/>
        </w:rPr>
        <w:t>m</w:t>
      </w:r>
      <w:r w:rsidRPr="00475722">
        <w:rPr>
          <w:color w:val="000000"/>
          <w:szCs w:val="22"/>
          <w:lang w:val="en-CA" w:eastAsia="en-CA"/>
        </w:rPr>
        <w:t xml:space="preserve">anagement </w:t>
      </w:r>
      <w:r w:rsidR="002D5023">
        <w:rPr>
          <w:color w:val="000000"/>
          <w:szCs w:val="22"/>
          <w:lang w:val="en-CA" w:eastAsia="en-CA"/>
        </w:rPr>
        <w:t>a</w:t>
      </w:r>
      <w:r w:rsidRPr="00475722">
        <w:rPr>
          <w:color w:val="000000"/>
          <w:szCs w:val="22"/>
          <w:lang w:val="en-CA" w:eastAsia="en-CA"/>
        </w:rPr>
        <w:t>greement is in place.</w:t>
      </w:r>
    </w:p>
    <w:p w:rsidR="002932C9" w:rsidRPr="00475722" w:rsidRDefault="002932C9" w:rsidP="002932C9">
      <w:pPr>
        <w:autoSpaceDE w:val="0"/>
        <w:autoSpaceDN w:val="0"/>
        <w:adjustRightInd w:val="0"/>
        <w:spacing w:before="240"/>
        <w:jc w:val="both"/>
        <w:rPr>
          <w:color w:val="000000"/>
          <w:szCs w:val="22"/>
          <w:lang w:val="en-CA" w:eastAsia="en-CA"/>
        </w:rPr>
      </w:pPr>
      <w:proofErr w:type="gramStart"/>
      <w:r w:rsidRPr="00475722">
        <w:rPr>
          <w:color w:val="000000"/>
          <w:szCs w:val="22"/>
          <w:lang w:val="en-CA" w:eastAsia="en-CA"/>
        </w:rPr>
        <w:t xml:space="preserve">Section 31 of the </w:t>
      </w:r>
      <w:r w:rsidRPr="00475722">
        <w:rPr>
          <w:i/>
          <w:iCs/>
          <w:color w:val="000000"/>
          <w:szCs w:val="22"/>
          <w:lang w:val="en-CA" w:eastAsia="en-CA"/>
        </w:rPr>
        <w:t>HIA</w:t>
      </w:r>
      <w:r w:rsidRPr="00475722">
        <w:rPr>
          <w:color w:val="000000"/>
          <w:szCs w:val="22"/>
          <w:lang w:val="en-CA" w:eastAsia="en-CA"/>
        </w:rPr>
        <w:t xml:space="preserve"> states that </w:t>
      </w:r>
      <w:r>
        <w:rPr>
          <w:rFonts w:eastAsia="MS Mincho"/>
          <w:color w:val="000000"/>
          <w:szCs w:val="22"/>
          <w:lang w:val="en-CA" w:eastAsia="en-CA"/>
        </w:rPr>
        <w:t>“</w:t>
      </w:r>
      <w:r w:rsidRPr="00475722">
        <w:rPr>
          <w:rFonts w:eastAsia="MS Mincho"/>
          <w:color w:val="000000"/>
          <w:szCs w:val="22"/>
          <w:lang w:val="en-CA" w:eastAsia="en-CA"/>
        </w:rPr>
        <w:t xml:space="preserve">no </w:t>
      </w:r>
      <w:r w:rsidR="002D5023">
        <w:rPr>
          <w:rFonts w:eastAsia="MS Mincho"/>
          <w:color w:val="000000"/>
          <w:szCs w:val="22"/>
          <w:lang w:val="en-CA" w:eastAsia="en-CA"/>
        </w:rPr>
        <w:t>custodian</w:t>
      </w:r>
      <w:r w:rsidRPr="00475722">
        <w:rPr>
          <w:rFonts w:eastAsia="MS Mincho"/>
          <w:color w:val="000000"/>
          <w:szCs w:val="22"/>
          <w:lang w:val="en-CA" w:eastAsia="en-CA"/>
        </w:rPr>
        <w:t xml:space="preserve"> shall disclose health information except in accordance with this Act.”</w:t>
      </w:r>
      <w:proofErr w:type="gramEnd"/>
      <w:r w:rsidRPr="00475722">
        <w:rPr>
          <w:rFonts w:eastAsia="MS Mincho"/>
          <w:color w:val="000000"/>
          <w:szCs w:val="22"/>
          <w:lang w:val="en-CA" w:eastAsia="en-CA"/>
        </w:rPr>
        <w:t xml:space="preserve">  As noted above, a </w:t>
      </w:r>
      <w:r w:rsidR="002D5023">
        <w:rPr>
          <w:rFonts w:eastAsia="MS Mincho"/>
          <w:color w:val="000000"/>
          <w:szCs w:val="22"/>
          <w:lang w:val="en-CA" w:eastAsia="en-CA"/>
        </w:rPr>
        <w:t>custodian</w:t>
      </w:r>
      <w:r w:rsidRPr="00475722">
        <w:rPr>
          <w:rFonts w:eastAsia="MS Mincho"/>
          <w:color w:val="000000"/>
          <w:szCs w:val="22"/>
          <w:lang w:val="en-CA" w:eastAsia="en-CA"/>
        </w:rPr>
        <w:t xml:space="preserve"> has the authority to disclose health information to an </w:t>
      </w:r>
      <w:r w:rsidR="003022E3">
        <w:rPr>
          <w:rFonts w:eastAsia="MS Mincho"/>
          <w:color w:val="000000"/>
          <w:szCs w:val="22"/>
          <w:lang w:val="en-CA" w:eastAsia="en-CA"/>
        </w:rPr>
        <w:t>i</w:t>
      </w:r>
      <w:r w:rsidR="002D5023">
        <w:rPr>
          <w:rFonts w:eastAsia="MS Mincho"/>
          <w:color w:val="000000"/>
          <w:szCs w:val="22"/>
          <w:lang w:val="en-CA" w:eastAsia="en-CA"/>
        </w:rPr>
        <w:t>nformation manager</w:t>
      </w:r>
      <w:r w:rsidRPr="00475722">
        <w:rPr>
          <w:rFonts w:eastAsia="MS Mincho"/>
          <w:color w:val="000000"/>
          <w:szCs w:val="22"/>
          <w:lang w:val="en-CA" w:eastAsia="en-CA"/>
        </w:rPr>
        <w:t xml:space="preserve"> when an </w:t>
      </w:r>
      <w:r w:rsidR="002D5023">
        <w:rPr>
          <w:rFonts w:eastAsia="MS Mincho"/>
          <w:color w:val="000000"/>
          <w:szCs w:val="22"/>
          <w:lang w:val="en-CA" w:eastAsia="en-CA"/>
        </w:rPr>
        <w:t>i</w:t>
      </w:r>
      <w:r w:rsidRPr="00475722">
        <w:rPr>
          <w:rFonts w:eastAsia="MS Mincho"/>
          <w:color w:val="000000"/>
          <w:szCs w:val="22"/>
          <w:lang w:val="en-CA" w:eastAsia="en-CA"/>
        </w:rPr>
        <w:t xml:space="preserve">nformation </w:t>
      </w:r>
      <w:r w:rsidR="002D5023">
        <w:rPr>
          <w:rFonts w:eastAsia="MS Mincho"/>
          <w:color w:val="000000"/>
          <w:szCs w:val="22"/>
          <w:lang w:val="en-CA" w:eastAsia="en-CA"/>
        </w:rPr>
        <w:t>m</w:t>
      </w:r>
      <w:r w:rsidRPr="00475722">
        <w:rPr>
          <w:rFonts w:eastAsia="MS Mincho"/>
          <w:color w:val="000000"/>
          <w:szCs w:val="22"/>
          <w:lang w:val="en-CA" w:eastAsia="en-CA"/>
        </w:rPr>
        <w:t>anage</w:t>
      </w:r>
      <w:r w:rsidR="002D5023">
        <w:rPr>
          <w:rFonts w:eastAsia="MS Mincho"/>
          <w:color w:val="000000"/>
          <w:szCs w:val="22"/>
          <w:lang w:val="en-CA" w:eastAsia="en-CA"/>
        </w:rPr>
        <w:t>ment</w:t>
      </w:r>
      <w:r w:rsidRPr="00475722">
        <w:rPr>
          <w:rFonts w:eastAsia="MS Mincho"/>
          <w:color w:val="000000"/>
          <w:szCs w:val="22"/>
          <w:lang w:val="en-CA" w:eastAsia="en-CA"/>
        </w:rPr>
        <w:t xml:space="preserve"> </w:t>
      </w:r>
      <w:r w:rsidR="002D5023">
        <w:rPr>
          <w:rFonts w:eastAsia="MS Mincho"/>
          <w:color w:val="000000"/>
          <w:szCs w:val="22"/>
          <w:lang w:val="en-CA" w:eastAsia="en-CA"/>
        </w:rPr>
        <w:t>a</w:t>
      </w:r>
      <w:r w:rsidRPr="00475722">
        <w:rPr>
          <w:rFonts w:eastAsia="MS Mincho"/>
          <w:color w:val="000000"/>
          <w:szCs w:val="22"/>
          <w:lang w:val="en-CA" w:eastAsia="en-CA"/>
        </w:rPr>
        <w:t>greement is in place between the two parties (</w:t>
      </w:r>
      <w:r w:rsidR="002D5023">
        <w:rPr>
          <w:rFonts w:eastAsia="MS Mincho"/>
          <w:color w:val="000000"/>
          <w:szCs w:val="22"/>
          <w:lang w:val="en-CA" w:eastAsia="en-CA"/>
        </w:rPr>
        <w:t>information manager</w:t>
      </w:r>
      <w:r w:rsidRPr="00475722">
        <w:rPr>
          <w:rFonts w:eastAsia="MS Mincho"/>
          <w:color w:val="000000"/>
          <w:szCs w:val="22"/>
          <w:lang w:val="en-CA" w:eastAsia="en-CA"/>
        </w:rPr>
        <w:t xml:space="preserve"> and the </w:t>
      </w:r>
      <w:r w:rsidR="002D5023">
        <w:rPr>
          <w:rFonts w:eastAsia="MS Mincho"/>
          <w:color w:val="000000"/>
          <w:szCs w:val="22"/>
          <w:lang w:val="en-CA" w:eastAsia="en-CA"/>
        </w:rPr>
        <w:t>custodian(s)</w:t>
      </w:r>
      <w:r w:rsidRPr="00475722">
        <w:rPr>
          <w:rFonts w:eastAsia="MS Mincho"/>
          <w:color w:val="000000"/>
          <w:szCs w:val="22"/>
          <w:lang w:val="en-CA" w:eastAsia="en-CA"/>
        </w:rPr>
        <w:t xml:space="preserve">). </w:t>
      </w:r>
      <w:r w:rsidR="002D5023">
        <w:rPr>
          <w:rFonts w:eastAsia="MS Mincho"/>
          <w:color w:val="000000"/>
          <w:szCs w:val="22"/>
          <w:lang w:val="en-CA" w:eastAsia="en-CA"/>
        </w:rPr>
        <w:t xml:space="preserve"> I</w:t>
      </w:r>
      <w:r w:rsidRPr="00475722">
        <w:rPr>
          <w:rFonts w:eastAsia="MS Mincho"/>
          <w:color w:val="000000"/>
          <w:szCs w:val="22"/>
          <w:lang w:val="en-CA" w:eastAsia="en-CA"/>
        </w:rPr>
        <w:t xml:space="preserve">f there is no agreement in place, a </w:t>
      </w:r>
      <w:r w:rsidR="002D5023">
        <w:rPr>
          <w:rFonts w:eastAsia="MS Mincho"/>
          <w:color w:val="000000"/>
          <w:szCs w:val="22"/>
          <w:lang w:val="en-CA" w:eastAsia="en-CA"/>
        </w:rPr>
        <w:t>custodian</w:t>
      </w:r>
      <w:r w:rsidRPr="00475722">
        <w:rPr>
          <w:rFonts w:eastAsia="MS Mincho"/>
          <w:color w:val="000000"/>
          <w:szCs w:val="22"/>
          <w:lang w:val="en-CA" w:eastAsia="en-CA"/>
        </w:rPr>
        <w:t xml:space="preserve"> may be found to have contravened section 31 of the </w:t>
      </w:r>
      <w:r w:rsidRPr="00475722">
        <w:rPr>
          <w:i/>
          <w:iCs/>
          <w:color w:val="000000"/>
          <w:szCs w:val="22"/>
          <w:lang w:val="en-CA" w:eastAsia="en-CA"/>
        </w:rPr>
        <w:t>HIA</w:t>
      </w:r>
      <w:r w:rsidRPr="00475722">
        <w:rPr>
          <w:color w:val="000000"/>
          <w:szCs w:val="22"/>
          <w:lang w:val="en-CA" w:eastAsia="en-CA"/>
        </w:rPr>
        <w:t>.</w:t>
      </w:r>
    </w:p>
    <w:p w:rsidR="002932C9" w:rsidRDefault="002932C9" w:rsidP="002932C9">
      <w:pPr>
        <w:pStyle w:val="BodyText"/>
        <w:rPr>
          <w:rFonts w:eastAsia="MS Mincho"/>
          <w:color w:val="000000"/>
          <w:szCs w:val="22"/>
          <w:lang w:val="en-CA" w:eastAsia="en-CA"/>
        </w:rPr>
      </w:pPr>
      <w:r>
        <w:rPr>
          <w:rFonts w:eastAsia="MS Mincho"/>
          <w:color w:val="000000"/>
          <w:szCs w:val="22"/>
          <w:lang w:val="en-CA" w:eastAsia="en-CA"/>
        </w:rPr>
        <w:t xml:space="preserve">Section 66(7) of the </w:t>
      </w:r>
      <w:r>
        <w:rPr>
          <w:rFonts w:eastAsia="MS Mincho"/>
          <w:i/>
          <w:color w:val="000000"/>
          <w:szCs w:val="22"/>
          <w:lang w:val="en-CA" w:eastAsia="en-CA"/>
        </w:rPr>
        <w:t>HIA</w:t>
      </w:r>
      <w:r>
        <w:rPr>
          <w:rFonts w:eastAsia="MS Mincho"/>
          <w:color w:val="000000"/>
          <w:szCs w:val="22"/>
          <w:lang w:val="en-CA" w:eastAsia="en-CA"/>
        </w:rPr>
        <w:t xml:space="preserve"> reads “a </w:t>
      </w:r>
      <w:r w:rsidR="002D5023">
        <w:rPr>
          <w:rFonts w:eastAsia="MS Mincho"/>
          <w:color w:val="000000"/>
          <w:szCs w:val="22"/>
          <w:lang w:val="en-CA" w:eastAsia="en-CA"/>
        </w:rPr>
        <w:t>custodian</w:t>
      </w:r>
      <w:r>
        <w:rPr>
          <w:rFonts w:eastAsia="MS Mincho"/>
          <w:color w:val="000000"/>
          <w:szCs w:val="22"/>
          <w:lang w:val="en-CA" w:eastAsia="en-CA"/>
        </w:rPr>
        <w:t xml:space="preserve"> that is an </w:t>
      </w:r>
      <w:r w:rsidR="002D5023">
        <w:rPr>
          <w:rFonts w:eastAsia="MS Mincho"/>
          <w:color w:val="000000"/>
          <w:szCs w:val="22"/>
          <w:lang w:val="en-CA" w:eastAsia="en-CA"/>
        </w:rPr>
        <w:t>information manager</w:t>
      </w:r>
      <w:r>
        <w:rPr>
          <w:rFonts w:eastAsia="MS Mincho"/>
          <w:color w:val="000000"/>
          <w:szCs w:val="22"/>
          <w:lang w:val="en-CA" w:eastAsia="en-CA"/>
        </w:rPr>
        <w:t xml:space="preserve"> for another </w:t>
      </w:r>
      <w:r w:rsidR="002D5023">
        <w:rPr>
          <w:rFonts w:eastAsia="MS Mincho"/>
          <w:color w:val="000000"/>
          <w:szCs w:val="22"/>
          <w:lang w:val="en-CA" w:eastAsia="en-CA"/>
        </w:rPr>
        <w:t>custodian</w:t>
      </w:r>
      <w:r>
        <w:rPr>
          <w:rFonts w:eastAsia="MS Mincho"/>
          <w:color w:val="000000"/>
          <w:szCs w:val="22"/>
          <w:lang w:val="en-CA" w:eastAsia="en-CA"/>
        </w:rPr>
        <w:t xml:space="preserve"> does not become a </w:t>
      </w:r>
      <w:r w:rsidR="002D5023">
        <w:rPr>
          <w:rFonts w:eastAsia="MS Mincho"/>
          <w:color w:val="000000"/>
          <w:szCs w:val="22"/>
          <w:lang w:val="en-CA" w:eastAsia="en-CA"/>
        </w:rPr>
        <w:t>custodian</w:t>
      </w:r>
      <w:r>
        <w:rPr>
          <w:rFonts w:eastAsia="MS Mincho"/>
          <w:color w:val="000000"/>
          <w:szCs w:val="22"/>
          <w:lang w:val="en-CA" w:eastAsia="en-CA"/>
        </w:rPr>
        <w:t xml:space="preserve"> of the health information provided to it in its capacity as an </w:t>
      </w:r>
      <w:r w:rsidR="002D5023">
        <w:rPr>
          <w:rFonts w:eastAsia="MS Mincho"/>
          <w:color w:val="000000"/>
          <w:szCs w:val="22"/>
          <w:lang w:val="en-CA" w:eastAsia="en-CA"/>
        </w:rPr>
        <w:t>information manager</w:t>
      </w:r>
      <w:r>
        <w:rPr>
          <w:rFonts w:eastAsia="MS Mincho"/>
          <w:color w:val="000000"/>
          <w:szCs w:val="22"/>
          <w:lang w:val="en-CA" w:eastAsia="en-CA"/>
        </w:rPr>
        <w:t xml:space="preserve">, but nothing in this section prevents the </w:t>
      </w:r>
      <w:r w:rsidR="002D5023">
        <w:rPr>
          <w:rFonts w:eastAsia="MS Mincho"/>
          <w:color w:val="000000"/>
          <w:szCs w:val="22"/>
          <w:lang w:val="en-CA" w:eastAsia="en-CA"/>
        </w:rPr>
        <w:t>custodian</w:t>
      </w:r>
      <w:r>
        <w:rPr>
          <w:rFonts w:eastAsia="MS Mincho"/>
          <w:color w:val="000000"/>
          <w:szCs w:val="22"/>
          <w:lang w:val="en-CA" w:eastAsia="en-CA"/>
        </w:rPr>
        <w:t xml:space="preserve"> from otherwise collecting, using or disclosing that same health information in accordance with this Act.”</w:t>
      </w:r>
      <w:r w:rsidR="002D5023">
        <w:rPr>
          <w:rFonts w:eastAsia="MS Mincho"/>
          <w:color w:val="000000"/>
          <w:szCs w:val="22"/>
          <w:lang w:val="en-CA" w:eastAsia="en-CA"/>
        </w:rPr>
        <w:t xml:space="preserve">  Therefore, the </w:t>
      </w:r>
      <w:r w:rsidR="00FF4B70">
        <w:rPr>
          <w:rFonts w:eastAsia="MS Mincho"/>
          <w:color w:val="000000"/>
          <w:szCs w:val="22"/>
          <w:lang w:val="en-CA" w:eastAsia="en-CA"/>
        </w:rPr>
        <w:t>V</w:t>
      </w:r>
      <w:r w:rsidR="002D5023">
        <w:rPr>
          <w:rFonts w:eastAsia="MS Mincho"/>
          <w:color w:val="000000"/>
          <w:szCs w:val="22"/>
          <w:lang w:val="en-CA" w:eastAsia="en-CA"/>
        </w:rPr>
        <w:t>endors, or staff who are acting as information managers do not by virtue of the receipt of health information become custodians of that information.  They remain affiliates of the custodians who have disclosed or shared the information.</w:t>
      </w:r>
    </w:p>
    <w:p w:rsidR="002932C9" w:rsidRDefault="002932C9" w:rsidP="002932C9">
      <w:pPr>
        <w:pStyle w:val="BodyText"/>
        <w:rPr>
          <w:b/>
          <w:lang w:val="en-CA"/>
        </w:rPr>
      </w:pPr>
      <w:bookmarkStart w:id="2" w:name="Division_2_Data_Matching_159060"/>
      <w:bookmarkEnd w:id="2"/>
      <w:r>
        <w:rPr>
          <w:b/>
          <w:lang w:val="en-CA"/>
        </w:rPr>
        <w:lastRenderedPageBreak/>
        <w:t>Regulating Information Management Agreements</w:t>
      </w:r>
    </w:p>
    <w:p w:rsidR="002932C9" w:rsidRDefault="002932C9" w:rsidP="002932C9">
      <w:pPr>
        <w:pStyle w:val="BodyText"/>
        <w:rPr>
          <w:lang w:val="en-CA"/>
        </w:rPr>
      </w:pPr>
      <w:r>
        <w:rPr>
          <w:lang w:val="en-CA"/>
        </w:rPr>
        <w:t xml:space="preserve">The </w:t>
      </w:r>
      <w:r>
        <w:rPr>
          <w:i/>
          <w:lang w:val="en-CA"/>
        </w:rPr>
        <w:t>Health Information Regulation</w:t>
      </w:r>
      <w:r>
        <w:rPr>
          <w:lang w:val="en-CA"/>
        </w:rPr>
        <w:t>, AR 70/2001 (“</w:t>
      </w:r>
      <w:r>
        <w:rPr>
          <w:i/>
          <w:lang w:val="en-CA"/>
        </w:rPr>
        <w:t>HIR”</w:t>
      </w:r>
      <w:r>
        <w:rPr>
          <w:lang w:val="en-CA"/>
        </w:rPr>
        <w:t xml:space="preserve">) sets out what must be contained in an </w:t>
      </w:r>
      <w:r w:rsidR="0048587E">
        <w:rPr>
          <w:lang w:val="en-CA"/>
        </w:rPr>
        <w:t>I</w:t>
      </w:r>
      <w:r>
        <w:rPr>
          <w:lang w:val="en-CA"/>
        </w:rPr>
        <w:t xml:space="preserve">nformation </w:t>
      </w:r>
      <w:r w:rsidR="0048587E">
        <w:rPr>
          <w:lang w:val="en-CA"/>
        </w:rPr>
        <w:t>M</w:t>
      </w:r>
      <w:r>
        <w:rPr>
          <w:lang w:val="en-CA"/>
        </w:rPr>
        <w:t xml:space="preserve">anagement </w:t>
      </w:r>
      <w:r w:rsidR="0048587E">
        <w:rPr>
          <w:lang w:val="en-CA"/>
        </w:rPr>
        <w:t>A</w:t>
      </w:r>
      <w:r>
        <w:rPr>
          <w:lang w:val="en-CA"/>
        </w:rPr>
        <w:t xml:space="preserve">greement, as per section 66(2) of </w:t>
      </w:r>
      <w:r>
        <w:rPr>
          <w:i/>
          <w:lang w:val="en-CA"/>
        </w:rPr>
        <w:t>HIA</w:t>
      </w:r>
      <w:r>
        <w:rPr>
          <w:lang w:val="en-CA"/>
        </w:rPr>
        <w:t xml:space="preserve">: </w:t>
      </w:r>
    </w:p>
    <w:p w:rsidR="002932C9" w:rsidRPr="00823F72" w:rsidRDefault="002932C9" w:rsidP="002932C9">
      <w:pPr>
        <w:autoSpaceDE w:val="0"/>
        <w:autoSpaceDN w:val="0"/>
        <w:adjustRightInd w:val="0"/>
        <w:spacing w:before="100" w:after="100"/>
        <w:ind w:left="1440" w:right="1440"/>
        <w:jc w:val="both"/>
        <w:rPr>
          <w:sz w:val="20"/>
          <w:lang w:val="en-CA" w:eastAsia="en-CA"/>
        </w:rPr>
      </w:pPr>
      <w:proofErr w:type="gramStart"/>
      <w:r w:rsidRPr="00FB2291">
        <w:rPr>
          <w:b/>
          <w:sz w:val="20"/>
          <w:lang w:val="en-CA" w:eastAsia="en-CA"/>
        </w:rPr>
        <w:t>7.2</w:t>
      </w:r>
      <w:r>
        <w:rPr>
          <w:sz w:val="20"/>
          <w:lang w:val="en-CA" w:eastAsia="en-CA"/>
        </w:rPr>
        <w:t xml:space="preserve">  </w:t>
      </w:r>
      <w:r w:rsidRPr="00823F72">
        <w:rPr>
          <w:sz w:val="20"/>
          <w:lang w:val="en-CA" w:eastAsia="en-CA"/>
        </w:rPr>
        <w:t>For</w:t>
      </w:r>
      <w:proofErr w:type="gramEnd"/>
      <w:r w:rsidRPr="00823F72">
        <w:rPr>
          <w:sz w:val="20"/>
          <w:lang w:val="en-CA" w:eastAsia="en-CA"/>
        </w:rPr>
        <w:t xml:space="preserve"> the purposes of section 66(2) of the Act, an agreement between a </w:t>
      </w:r>
      <w:r w:rsidR="002D5023">
        <w:rPr>
          <w:sz w:val="20"/>
          <w:lang w:val="en-CA" w:eastAsia="en-CA"/>
        </w:rPr>
        <w:t>custodian</w:t>
      </w:r>
      <w:r w:rsidRPr="00823F72">
        <w:rPr>
          <w:sz w:val="20"/>
          <w:lang w:val="en-CA" w:eastAsia="en-CA"/>
        </w:rPr>
        <w:t xml:space="preserve"> and an </w:t>
      </w:r>
      <w:r w:rsidR="002D5023">
        <w:rPr>
          <w:sz w:val="20"/>
          <w:lang w:val="en-CA" w:eastAsia="en-CA"/>
        </w:rPr>
        <w:t>information manager</w:t>
      </w:r>
      <w:r w:rsidRPr="00823F72">
        <w:rPr>
          <w:sz w:val="20"/>
          <w:lang w:val="en-CA" w:eastAsia="en-CA"/>
        </w:rPr>
        <w:t xml:space="preserve"> must </w:t>
      </w:r>
    </w:p>
    <w:p w:rsidR="002932C9" w:rsidRDefault="002932C9" w:rsidP="002932C9">
      <w:pPr>
        <w:autoSpaceDE w:val="0"/>
        <w:autoSpaceDN w:val="0"/>
        <w:adjustRightInd w:val="0"/>
        <w:spacing w:before="100" w:after="100"/>
        <w:ind w:left="1728" w:right="1440"/>
        <w:jc w:val="both"/>
        <w:rPr>
          <w:sz w:val="20"/>
          <w:lang w:val="en-CA" w:eastAsia="en-CA"/>
        </w:rPr>
      </w:pPr>
      <w:r w:rsidRPr="00823F72">
        <w:rPr>
          <w:sz w:val="20"/>
          <w:lang w:val="en-CA" w:eastAsia="en-CA"/>
        </w:rPr>
        <w:t xml:space="preserve">(a) </w:t>
      </w:r>
      <w:proofErr w:type="gramStart"/>
      <w:r w:rsidRPr="00823F72">
        <w:rPr>
          <w:sz w:val="20"/>
          <w:lang w:val="en-CA" w:eastAsia="en-CA"/>
        </w:rPr>
        <w:t>identify</w:t>
      </w:r>
      <w:proofErr w:type="gramEnd"/>
      <w:r w:rsidRPr="00823F72">
        <w:rPr>
          <w:sz w:val="20"/>
          <w:lang w:val="en-CA" w:eastAsia="en-CA"/>
        </w:rPr>
        <w:t xml:space="preserve"> the </w:t>
      </w:r>
      <w:r w:rsidRPr="00823F72">
        <w:rPr>
          <w:sz w:val="20"/>
          <w:u w:val="single"/>
          <w:lang w:val="en-CA" w:eastAsia="en-CA"/>
        </w:rPr>
        <w:t>objectives</w:t>
      </w:r>
      <w:r w:rsidRPr="00823F72">
        <w:rPr>
          <w:sz w:val="20"/>
          <w:lang w:val="en-CA" w:eastAsia="en-CA"/>
        </w:rPr>
        <w:t xml:space="preserve"> of the agreement and the </w:t>
      </w:r>
      <w:r w:rsidRPr="00823F72">
        <w:rPr>
          <w:sz w:val="20"/>
          <w:u w:val="single"/>
          <w:lang w:val="en-CA" w:eastAsia="en-CA"/>
        </w:rPr>
        <w:t xml:space="preserve">principles </w:t>
      </w:r>
      <w:r w:rsidRPr="00823F72">
        <w:rPr>
          <w:sz w:val="20"/>
          <w:lang w:val="en-CA" w:eastAsia="en-CA"/>
        </w:rPr>
        <w:t>to guide the agreement,</w:t>
      </w:r>
    </w:p>
    <w:p w:rsidR="002932C9" w:rsidRDefault="002932C9" w:rsidP="002932C9">
      <w:pPr>
        <w:autoSpaceDE w:val="0"/>
        <w:autoSpaceDN w:val="0"/>
        <w:adjustRightInd w:val="0"/>
        <w:spacing w:before="100" w:after="100"/>
        <w:ind w:left="1728" w:right="1440"/>
        <w:jc w:val="both"/>
        <w:rPr>
          <w:sz w:val="20"/>
          <w:lang w:val="en-CA" w:eastAsia="en-CA"/>
        </w:rPr>
      </w:pPr>
      <w:r w:rsidRPr="00823F72">
        <w:rPr>
          <w:sz w:val="20"/>
          <w:lang w:val="en-CA" w:eastAsia="en-CA"/>
        </w:rPr>
        <w:t xml:space="preserve">(b) </w:t>
      </w:r>
      <w:proofErr w:type="gramStart"/>
      <w:r w:rsidRPr="00823F72">
        <w:rPr>
          <w:sz w:val="20"/>
          <w:lang w:val="en-CA" w:eastAsia="en-CA"/>
        </w:rPr>
        <w:t>indicate</w:t>
      </w:r>
      <w:proofErr w:type="gramEnd"/>
      <w:r w:rsidRPr="00823F72">
        <w:rPr>
          <w:sz w:val="20"/>
          <w:lang w:val="en-CA" w:eastAsia="en-CA"/>
        </w:rPr>
        <w:t xml:space="preserve"> </w:t>
      </w:r>
      <w:r w:rsidRPr="00823F72">
        <w:rPr>
          <w:sz w:val="20"/>
          <w:u w:val="single"/>
          <w:lang w:val="en-CA" w:eastAsia="en-CA"/>
        </w:rPr>
        <w:t xml:space="preserve">whether or not the </w:t>
      </w:r>
      <w:r w:rsidR="002D5023">
        <w:rPr>
          <w:sz w:val="20"/>
          <w:u w:val="single"/>
          <w:lang w:val="en-CA" w:eastAsia="en-CA"/>
        </w:rPr>
        <w:t>information manager</w:t>
      </w:r>
      <w:r w:rsidRPr="00823F72">
        <w:rPr>
          <w:sz w:val="20"/>
          <w:u w:val="single"/>
          <w:lang w:val="en-CA" w:eastAsia="en-CA"/>
        </w:rPr>
        <w:t xml:space="preserve"> is permitted to collect health information from any other </w:t>
      </w:r>
      <w:r w:rsidR="002D5023">
        <w:rPr>
          <w:sz w:val="20"/>
          <w:u w:val="single"/>
          <w:lang w:val="en-CA" w:eastAsia="en-CA"/>
        </w:rPr>
        <w:t>custodian</w:t>
      </w:r>
      <w:r w:rsidRPr="00823F72">
        <w:rPr>
          <w:sz w:val="20"/>
          <w:lang w:val="en-CA" w:eastAsia="en-CA"/>
        </w:rPr>
        <w:t xml:space="preserve"> or from a person and, if so, describe that health information and the purpose for which it may be collected,</w:t>
      </w:r>
    </w:p>
    <w:p w:rsidR="002932C9" w:rsidRDefault="002932C9" w:rsidP="002932C9">
      <w:pPr>
        <w:autoSpaceDE w:val="0"/>
        <w:autoSpaceDN w:val="0"/>
        <w:adjustRightInd w:val="0"/>
        <w:spacing w:before="100" w:after="100"/>
        <w:ind w:left="1728" w:right="1440"/>
        <w:jc w:val="both"/>
        <w:rPr>
          <w:sz w:val="20"/>
          <w:lang w:val="en-CA" w:eastAsia="en-CA"/>
        </w:rPr>
      </w:pPr>
      <w:r w:rsidRPr="00823F72">
        <w:rPr>
          <w:sz w:val="20"/>
          <w:lang w:val="en-CA" w:eastAsia="en-CA"/>
        </w:rPr>
        <w:t xml:space="preserve">(c) </w:t>
      </w:r>
      <w:proofErr w:type="gramStart"/>
      <w:r w:rsidRPr="00823F72">
        <w:rPr>
          <w:sz w:val="20"/>
          <w:lang w:val="en-CA" w:eastAsia="en-CA"/>
        </w:rPr>
        <w:t>indicate</w:t>
      </w:r>
      <w:proofErr w:type="gramEnd"/>
      <w:r w:rsidRPr="00823F72">
        <w:rPr>
          <w:sz w:val="20"/>
          <w:lang w:val="en-CA" w:eastAsia="en-CA"/>
        </w:rPr>
        <w:t xml:space="preserve"> </w:t>
      </w:r>
      <w:r w:rsidRPr="00823F72">
        <w:rPr>
          <w:sz w:val="20"/>
          <w:u w:val="single"/>
          <w:lang w:val="en-CA" w:eastAsia="en-CA"/>
        </w:rPr>
        <w:t xml:space="preserve">whether or not the </w:t>
      </w:r>
      <w:r w:rsidR="002D5023">
        <w:rPr>
          <w:sz w:val="20"/>
          <w:u w:val="single"/>
          <w:lang w:val="en-CA" w:eastAsia="en-CA"/>
        </w:rPr>
        <w:t>information manager</w:t>
      </w:r>
      <w:r w:rsidRPr="00823F72">
        <w:rPr>
          <w:sz w:val="20"/>
          <w:u w:val="single"/>
          <w:lang w:val="en-CA" w:eastAsia="en-CA"/>
        </w:rPr>
        <w:t xml:space="preserve"> may use health information provided to it by the </w:t>
      </w:r>
      <w:r w:rsidR="002D5023">
        <w:rPr>
          <w:sz w:val="20"/>
          <w:u w:val="single"/>
          <w:lang w:val="en-CA" w:eastAsia="en-CA"/>
        </w:rPr>
        <w:t>custodian</w:t>
      </w:r>
      <w:r w:rsidRPr="00823F72">
        <w:rPr>
          <w:sz w:val="20"/>
          <w:lang w:val="en-CA" w:eastAsia="en-CA"/>
        </w:rPr>
        <w:t xml:space="preserve"> and, if so, describe that health information and the purpose for which it may be used,</w:t>
      </w:r>
    </w:p>
    <w:p w:rsidR="002932C9" w:rsidRDefault="002932C9" w:rsidP="002932C9">
      <w:pPr>
        <w:autoSpaceDE w:val="0"/>
        <w:autoSpaceDN w:val="0"/>
        <w:adjustRightInd w:val="0"/>
        <w:spacing w:before="100" w:after="100"/>
        <w:ind w:left="1728" w:right="1440"/>
        <w:jc w:val="both"/>
        <w:rPr>
          <w:sz w:val="20"/>
          <w:lang w:val="en-CA" w:eastAsia="en-CA"/>
        </w:rPr>
      </w:pPr>
      <w:r w:rsidRPr="00823F72">
        <w:rPr>
          <w:sz w:val="20"/>
          <w:lang w:val="en-CA" w:eastAsia="en-CA"/>
        </w:rPr>
        <w:t xml:space="preserve">(d) </w:t>
      </w:r>
      <w:proofErr w:type="gramStart"/>
      <w:r w:rsidRPr="00823F72">
        <w:rPr>
          <w:sz w:val="20"/>
          <w:lang w:val="en-CA" w:eastAsia="en-CA"/>
        </w:rPr>
        <w:t>indicate</w:t>
      </w:r>
      <w:proofErr w:type="gramEnd"/>
      <w:r w:rsidRPr="00823F72">
        <w:rPr>
          <w:sz w:val="20"/>
          <w:lang w:val="en-CA" w:eastAsia="en-CA"/>
        </w:rPr>
        <w:t xml:space="preserve"> </w:t>
      </w:r>
      <w:r w:rsidRPr="00823F72">
        <w:rPr>
          <w:sz w:val="20"/>
          <w:u w:val="single"/>
          <w:lang w:val="en-CA" w:eastAsia="en-CA"/>
        </w:rPr>
        <w:t xml:space="preserve">whether or not the </w:t>
      </w:r>
      <w:r w:rsidR="002D5023">
        <w:rPr>
          <w:sz w:val="20"/>
          <w:u w:val="single"/>
          <w:lang w:val="en-CA" w:eastAsia="en-CA"/>
        </w:rPr>
        <w:t>information manager</w:t>
      </w:r>
      <w:r w:rsidRPr="00823F72">
        <w:rPr>
          <w:sz w:val="20"/>
          <w:u w:val="single"/>
          <w:lang w:val="en-CA" w:eastAsia="en-CA"/>
        </w:rPr>
        <w:t xml:space="preserve"> may disclose health information provided to it by the </w:t>
      </w:r>
      <w:r w:rsidR="002D5023">
        <w:rPr>
          <w:sz w:val="20"/>
          <w:u w:val="single"/>
          <w:lang w:val="en-CA" w:eastAsia="en-CA"/>
        </w:rPr>
        <w:t>custodian</w:t>
      </w:r>
      <w:r w:rsidRPr="00823F72">
        <w:rPr>
          <w:sz w:val="20"/>
          <w:lang w:val="en-CA" w:eastAsia="en-CA"/>
        </w:rPr>
        <w:t xml:space="preserve"> and, if so, describe that health information and the purpose for which it may be disclosed,</w:t>
      </w:r>
    </w:p>
    <w:p w:rsidR="002932C9" w:rsidRDefault="002932C9" w:rsidP="002932C9">
      <w:pPr>
        <w:autoSpaceDE w:val="0"/>
        <w:autoSpaceDN w:val="0"/>
        <w:adjustRightInd w:val="0"/>
        <w:spacing w:before="100" w:after="100"/>
        <w:ind w:left="1728" w:right="1440"/>
        <w:jc w:val="both"/>
        <w:rPr>
          <w:sz w:val="20"/>
          <w:lang w:val="en-CA" w:eastAsia="en-CA"/>
        </w:rPr>
      </w:pPr>
      <w:r w:rsidRPr="00823F72">
        <w:rPr>
          <w:sz w:val="20"/>
          <w:lang w:val="en-CA" w:eastAsia="en-CA"/>
        </w:rPr>
        <w:t xml:space="preserve">(e) </w:t>
      </w:r>
      <w:r w:rsidRPr="00823F72">
        <w:rPr>
          <w:sz w:val="20"/>
          <w:u w:val="single"/>
          <w:lang w:val="en-CA" w:eastAsia="en-CA"/>
        </w:rPr>
        <w:t xml:space="preserve">describe the process for the </w:t>
      </w:r>
      <w:r w:rsidR="002D5023">
        <w:rPr>
          <w:sz w:val="20"/>
          <w:u w:val="single"/>
          <w:lang w:val="en-CA" w:eastAsia="en-CA"/>
        </w:rPr>
        <w:t>information manager</w:t>
      </w:r>
      <w:r w:rsidRPr="00823F72">
        <w:rPr>
          <w:sz w:val="20"/>
          <w:u w:val="single"/>
          <w:lang w:val="en-CA" w:eastAsia="en-CA"/>
        </w:rPr>
        <w:t xml:space="preserve"> to respond to access requests under Part 2</w:t>
      </w:r>
      <w:r w:rsidRPr="00823F72">
        <w:rPr>
          <w:sz w:val="20"/>
          <w:lang w:val="en-CA" w:eastAsia="en-CA"/>
        </w:rPr>
        <w:t xml:space="preserve"> of the Act or, if the </w:t>
      </w:r>
      <w:r w:rsidR="002D5023">
        <w:rPr>
          <w:sz w:val="20"/>
          <w:lang w:val="en-CA" w:eastAsia="en-CA"/>
        </w:rPr>
        <w:t>information manager</w:t>
      </w:r>
      <w:r w:rsidRPr="00823F72">
        <w:rPr>
          <w:sz w:val="20"/>
          <w:lang w:val="en-CA" w:eastAsia="en-CA"/>
        </w:rPr>
        <w:t xml:space="preserve"> is not to respond to access requests, describe the process for referring access requests for health information to the </w:t>
      </w:r>
      <w:r w:rsidR="002D5023">
        <w:rPr>
          <w:sz w:val="20"/>
          <w:lang w:val="en-CA" w:eastAsia="en-CA"/>
        </w:rPr>
        <w:t>custodian</w:t>
      </w:r>
      <w:r w:rsidRPr="00823F72">
        <w:rPr>
          <w:sz w:val="20"/>
          <w:lang w:val="en-CA" w:eastAsia="en-CA"/>
        </w:rPr>
        <w:t xml:space="preserve"> itself,</w:t>
      </w:r>
    </w:p>
    <w:p w:rsidR="002932C9" w:rsidRDefault="002932C9" w:rsidP="002932C9">
      <w:pPr>
        <w:autoSpaceDE w:val="0"/>
        <w:autoSpaceDN w:val="0"/>
        <w:adjustRightInd w:val="0"/>
        <w:spacing w:before="100" w:after="100"/>
        <w:ind w:left="1728" w:right="1440"/>
        <w:jc w:val="both"/>
        <w:rPr>
          <w:sz w:val="20"/>
          <w:lang w:val="en-CA" w:eastAsia="en-CA"/>
        </w:rPr>
      </w:pPr>
      <w:r w:rsidRPr="00823F72">
        <w:rPr>
          <w:sz w:val="20"/>
          <w:lang w:val="en-CA" w:eastAsia="en-CA"/>
        </w:rPr>
        <w:t xml:space="preserve">(f) </w:t>
      </w:r>
      <w:r w:rsidRPr="00823F72">
        <w:rPr>
          <w:sz w:val="20"/>
          <w:u w:val="single"/>
          <w:lang w:val="en-CA" w:eastAsia="en-CA"/>
        </w:rPr>
        <w:t xml:space="preserve">describe the process for the </w:t>
      </w:r>
      <w:r w:rsidR="002D5023">
        <w:rPr>
          <w:sz w:val="20"/>
          <w:u w:val="single"/>
          <w:lang w:val="en-CA" w:eastAsia="en-CA"/>
        </w:rPr>
        <w:t>information manager</w:t>
      </w:r>
      <w:r w:rsidRPr="00823F72">
        <w:rPr>
          <w:sz w:val="20"/>
          <w:u w:val="single"/>
          <w:lang w:val="en-CA" w:eastAsia="en-CA"/>
        </w:rPr>
        <w:t xml:space="preserve"> to respond to requests to amend or correct health information under Part 2 of the Act</w:t>
      </w:r>
      <w:r w:rsidRPr="00823F72">
        <w:rPr>
          <w:sz w:val="20"/>
          <w:lang w:val="en-CA" w:eastAsia="en-CA"/>
        </w:rPr>
        <w:t xml:space="preserve"> or, if the </w:t>
      </w:r>
      <w:r w:rsidR="002D5023">
        <w:rPr>
          <w:sz w:val="20"/>
          <w:lang w:val="en-CA" w:eastAsia="en-CA"/>
        </w:rPr>
        <w:t>information manager</w:t>
      </w:r>
      <w:r w:rsidRPr="00823F72">
        <w:rPr>
          <w:sz w:val="20"/>
          <w:lang w:val="en-CA" w:eastAsia="en-CA"/>
        </w:rPr>
        <w:t xml:space="preserve"> is not to respond to requests to amend or correct health information, describe the process for referring access requests to amend or correct health information to the </w:t>
      </w:r>
      <w:r w:rsidR="002D5023">
        <w:rPr>
          <w:sz w:val="20"/>
          <w:lang w:val="en-CA" w:eastAsia="en-CA"/>
        </w:rPr>
        <w:t>custodian</w:t>
      </w:r>
      <w:r w:rsidRPr="00823F72">
        <w:rPr>
          <w:sz w:val="20"/>
          <w:lang w:val="en-CA" w:eastAsia="en-CA"/>
        </w:rPr>
        <w:t xml:space="preserve"> itself,</w:t>
      </w:r>
    </w:p>
    <w:p w:rsidR="002932C9" w:rsidRDefault="002932C9" w:rsidP="002932C9">
      <w:pPr>
        <w:autoSpaceDE w:val="0"/>
        <w:autoSpaceDN w:val="0"/>
        <w:adjustRightInd w:val="0"/>
        <w:spacing w:before="100" w:after="100"/>
        <w:ind w:left="1728" w:right="1440"/>
        <w:jc w:val="both"/>
        <w:rPr>
          <w:sz w:val="20"/>
          <w:lang w:val="en-CA" w:eastAsia="en-CA"/>
        </w:rPr>
      </w:pPr>
      <w:r w:rsidRPr="00823F72">
        <w:rPr>
          <w:sz w:val="20"/>
          <w:lang w:val="en-CA" w:eastAsia="en-CA"/>
        </w:rPr>
        <w:t xml:space="preserve">(g) </w:t>
      </w:r>
      <w:proofErr w:type="gramStart"/>
      <w:r w:rsidRPr="00823F72">
        <w:rPr>
          <w:sz w:val="20"/>
          <w:lang w:val="en-CA" w:eastAsia="en-CA"/>
        </w:rPr>
        <w:t>describe</w:t>
      </w:r>
      <w:proofErr w:type="gramEnd"/>
      <w:r w:rsidRPr="00823F72">
        <w:rPr>
          <w:sz w:val="20"/>
          <w:lang w:val="en-CA" w:eastAsia="en-CA"/>
        </w:rPr>
        <w:t xml:space="preserve"> </w:t>
      </w:r>
      <w:r w:rsidRPr="00823F72">
        <w:rPr>
          <w:sz w:val="20"/>
          <w:u w:val="single"/>
          <w:lang w:val="en-CA" w:eastAsia="en-CA"/>
        </w:rPr>
        <w:t xml:space="preserve">how health information provided to the </w:t>
      </w:r>
      <w:r w:rsidR="002D5023">
        <w:rPr>
          <w:sz w:val="20"/>
          <w:u w:val="single"/>
          <w:lang w:val="en-CA" w:eastAsia="en-CA"/>
        </w:rPr>
        <w:t>information manager</w:t>
      </w:r>
      <w:r w:rsidRPr="00823F72">
        <w:rPr>
          <w:sz w:val="20"/>
          <w:u w:val="single"/>
          <w:lang w:val="en-CA" w:eastAsia="en-CA"/>
        </w:rPr>
        <w:t xml:space="preserve"> is to be protected, managed, returned or destroyed</w:t>
      </w:r>
      <w:r w:rsidRPr="00823F72">
        <w:rPr>
          <w:sz w:val="20"/>
          <w:lang w:val="en-CA" w:eastAsia="en-CA"/>
        </w:rPr>
        <w:t xml:space="preserve"> in accordance with the Act, </w:t>
      </w:r>
    </w:p>
    <w:p w:rsidR="002932C9" w:rsidRDefault="002932C9" w:rsidP="002932C9">
      <w:pPr>
        <w:autoSpaceDE w:val="0"/>
        <w:autoSpaceDN w:val="0"/>
        <w:adjustRightInd w:val="0"/>
        <w:spacing w:before="100" w:after="100"/>
        <w:ind w:left="1728" w:right="1440"/>
        <w:jc w:val="both"/>
        <w:rPr>
          <w:sz w:val="20"/>
          <w:lang w:val="en-CA" w:eastAsia="en-CA"/>
        </w:rPr>
      </w:pPr>
      <w:r w:rsidRPr="00823F72">
        <w:rPr>
          <w:sz w:val="20"/>
          <w:lang w:val="en-CA" w:eastAsia="en-CA"/>
        </w:rPr>
        <w:t xml:space="preserve">(h) describe how the </w:t>
      </w:r>
      <w:r w:rsidR="002D5023">
        <w:rPr>
          <w:sz w:val="20"/>
          <w:lang w:val="en-CA" w:eastAsia="en-CA"/>
        </w:rPr>
        <w:t>information manager</w:t>
      </w:r>
      <w:r w:rsidRPr="00823F72">
        <w:rPr>
          <w:sz w:val="20"/>
          <w:lang w:val="en-CA" w:eastAsia="en-CA"/>
        </w:rPr>
        <w:t xml:space="preserve"> is </w:t>
      </w:r>
      <w:r w:rsidRPr="00823F72">
        <w:rPr>
          <w:sz w:val="20"/>
          <w:u w:val="single"/>
          <w:lang w:val="en-CA" w:eastAsia="en-CA"/>
        </w:rPr>
        <w:t>to address an expressed wish of an individual relating to the disclosure of that individual’s health information</w:t>
      </w:r>
      <w:r w:rsidRPr="00823F72">
        <w:rPr>
          <w:sz w:val="20"/>
          <w:lang w:val="en-CA" w:eastAsia="en-CA"/>
        </w:rPr>
        <w:t xml:space="preserve"> or, if the </w:t>
      </w:r>
      <w:r w:rsidR="002D5023">
        <w:rPr>
          <w:sz w:val="20"/>
          <w:lang w:val="en-CA" w:eastAsia="en-CA"/>
        </w:rPr>
        <w:t>information manager</w:t>
      </w:r>
      <w:r w:rsidRPr="00823F72">
        <w:rPr>
          <w:sz w:val="20"/>
          <w:lang w:val="en-CA" w:eastAsia="en-CA"/>
        </w:rPr>
        <w:t xml:space="preserve"> is not to address an expressed wish of an individual relating to the disclosure of that individual’s health information, describe the process for referring these requests to the </w:t>
      </w:r>
      <w:r w:rsidR="002D5023">
        <w:rPr>
          <w:sz w:val="20"/>
          <w:lang w:val="en-CA" w:eastAsia="en-CA"/>
        </w:rPr>
        <w:t>custodian</w:t>
      </w:r>
      <w:r w:rsidRPr="00823F72">
        <w:rPr>
          <w:sz w:val="20"/>
          <w:lang w:val="en-CA" w:eastAsia="en-CA"/>
        </w:rPr>
        <w:t xml:space="preserve"> itself, and</w:t>
      </w:r>
    </w:p>
    <w:p w:rsidR="002932C9" w:rsidRDefault="002932C9" w:rsidP="002932C9">
      <w:pPr>
        <w:autoSpaceDE w:val="0"/>
        <w:autoSpaceDN w:val="0"/>
        <w:adjustRightInd w:val="0"/>
        <w:spacing w:before="100" w:after="100"/>
        <w:ind w:left="1728" w:right="1440"/>
        <w:jc w:val="both"/>
        <w:rPr>
          <w:sz w:val="20"/>
          <w:lang w:val="en-CA" w:eastAsia="en-CA"/>
        </w:rPr>
      </w:pPr>
      <w:r w:rsidRPr="00823F72">
        <w:rPr>
          <w:sz w:val="20"/>
          <w:lang w:val="en-CA" w:eastAsia="en-CA"/>
        </w:rPr>
        <w:t>(</w:t>
      </w:r>
      <w:proofErr w:type="spellStart"/>
      <w:r w:rsidRPr="00823F72">
        <w:rPr>
          <w:sz w:val="20"/>
          <w:lang w:val="en-CA" w:eastAsia="en-CA"/>
        </w:rPr>
        <w:t>i</w:t>
      </w:r>
      <w:proofErr w:type="spellEnd"/>
      <w:r w:rsidRPr="00823F72">
        <w:rPr>
          <w:sz w:val="20"/>
          <w:lang w:val="en-CA" w:eastAsia="en-CA"/>
        </w:rPr>
        <w:t xml:space="preserve">) </w:t>
      </w:r>
      <w:proofErr w:type="gramStart"/>
      <w:r w:rsidRPr="00823F72">
        <w:rPr>
          <w:sz w:val="20"/>
          <w:lang w:val="en-CA" w:eastAsia="en-CA"/>
        </w:rPr>
        <w:t>set</w:t>
      </w:r>
      <w:proofErr w:type="gramEnd"/>
      <w:r w:rsidRPr="00823F72">
        <w:rPr>
          <w:sz w:val="20"/>
          <w:lang w:val="en-CA" w:eastAsia="en-CA"/>
        </w:rPr>
        <w:t xml:space="preserve"> out how an agreement can be </w:t>
      </w:r>
      <w:r w:rsidRPr="00823F72">
        <w:rPr>
          <w:sz w:val="20"/>
          <w:u w:val="single"/>
          <w:lang w:val="en-CA" w:eastAsia="en-CA"/>
        </w:rPr>
        <w:t>terminated</w:t>
      </w:r>
      <w:r w:rsidRPr="00823F72">
        <w:rPr>
          <w:sz w:val="20"/>
          <w:lang w:val="en-CA" w:eastAsia="en-CA"/>
        </w:rPr>
        <w:t>.</w:t>
      </w:r>
      <w:r>
        <w:rPr>
          <w:sz w:val="20"/>
          <w:lang w:val="en-CA" w:eastAsia="en-CA"/>
        </w:rPr>
        <w:t xml:space="preserve"> [</w:t>
      </w:r>
      <w:proofErr w:type="gramStart"/>
      <w:r>
        <w:rPr>
          <w:sz w:val="20"/>
          <w:lang w:val="en-CA" w:eastAsia="en-CA"/>
        </w:rPr>
        <w:t>emphasis</w:t>
      </w:r>
      <w:proofErr w:type="gramEnd"/>
      <w:r>
        <w:rPr>
          <w:sz w:val="20"/>
          <w:lang w:val="en-CA" w:eastAsia="en-CA"/>
        </w:rPr>
        <w:t xml:space="preserve"> added]</w:t>
      </w:r>
    </w:p>
    <w:p w:rsidR="00960AAF" w:rsidRDefault="00960AAF" w:rsidP="00FD6DEA">
      <w:pPr>
        <w:pStyle w:val="BodyText"/>
        <w:spacing w:before="0"/>
      </w:pPr>
    </w:p>
    <w:p w:rsidR="00BE1222" w:rsidRDefault="00430607" w:rsidP="00FD6DEA">
      <w:pPr>
        <w:pStyle w:val="BodyText"/>
        <w:spacing w:before="0"/>
      </w:pPr>
      <w:r>
        <w:t xml:space="preserve">In </w:t>
      </w:r>
      <w:r w:rsidR="00BE1222">
        <w:t xml:space="preserve">addition, </w:t>
      </w:r>
      <w:r>
        <w:t>the</w:t>
      </w:r>
      <w:r w:rsidR="00960AAF">
        <w:t xml:space="preserve"> recent</w:t>
      </w:r>
      <w:r>
        <w:t xml:space="preserve"> College of Physicians &amp; Surgeons of Alberta (“CPSA”) </w:t>
      </w:r>
      <w:r w:rsidR="00BE1222">
        <w:t>Standard of Practice regarding Patient Record</w:t>
      </w:r>
      <w:r w:rsidR="00960AAF">
        <w:t xml:space="preserve"> Retention</w:t>
      </w:r>
      <w:r w:rsidR="00BE1222">
        <w:rPr>
          <w:rStyle w:val="FootnoteReference"/>
        </w:rPr>
        <w:footnoteReference w:id="7"/>
      </w:r>
      <w:r w:rsidR="00BE1222">
        <w:t xml:space="preserve"> states as follows:</w:t>
      </w:r>
    </w:p>
    <w:p w:rsidR="00A47E20" w:rsidRPr="00320C09" w:rsidRDefault="00A47E20" w:rsidP="00FD6DEA">
      <w:pPr>
        <w:pStyle w:val="BodyText"/>
        <w:spacing w:before="0"/>
      </w:pPr>
    </w:p>
    <w:p w:rsidR="00960AAF" w:rsidRPr="00960AAF" w:rsidRDefault="00960AAF" w:rsidP="00960AAF">
      <w:pPr>
        <w:spacing w:after="150"/>
        <w:ind w:left="600" w:right="1440"/>
        <w:jc w:val="both"/>
        <w:rPr>
          <w:sz w:val="20"/>
          <w:lang w:eastAsia="en-CA"/>
        </w:rPr>
      </w:pPr>
      <w:r w:rsidRPr="00960AAF">
        <w:rPr>
          <w:sz w:val="20"/>
          <w:lang w:eastAsia="en-CA"/>
        </w:rPr>
        <w:t>(2)</w:t>
      </w:r>
      <w:r w:rsidRPr="00960AAF">
        <w:rPr>
          <w:sz w:val="20"/>
          <w:lang w:eastAsia="en-CA"/>
        </w:rPr>
        <w:tab/>
      </w:r>
      <w:r w:rsidR="00BE1222" w:rsidRPr="00960AAF">
        <w:rPr>
          <w:sz w:val="20"/>
          <w:lang w:eastAsia="en-CA"/>
        </w:rPr>
        <w:t xml:space="preserve">A </w:t>
      </w:r>
      <w:r w:rsidRPr="00960AAF">
        <w:rPr>
          <w:sz w:val="20"/>
          <w:lang w:eastAsia="en-CA"/>
        </w:rPr>
        <w:t xml:space="preserve">regulated member acting as a custodian </w:t>
      </w:r>
      <w:r w:rsidRPr="00960AAF">
        <w:rPr>
          <w:b/>
          <w:sz w:val="20"/>
          <w:lang w:eastAsia="en-CA"/>
        </w:rPr>
        <w:t>must</w:t>
      </w:r>
      <w:r w:rsidRPr="00960AAF">
        <w:rPr>
          <w:sz w:val="20"/>
          <w:lang w:eastAsia="en-CA"/>
        </w:rPr>
        <w:t xml:space="preserve"> have policies and procedures in place in accordance with the HIA that:</w:t>
      </w:r>
    </w:p>
    <w:p w:rsidR="00960AAF" w:rsidRPr="00960AAF" w:rsidRDefault="00960AAF" w:rsidP="00960AAF">
      <w:pPr>
        <w:pStyle w:val="BodyText"/>
        <w:ind w:left="1440"/>
        <w:rPr>
          <w:sz w:val="20"/>
          <w:lang w:eastAsia="en-CA"/>
        </w:rPr>
      </w:pPr>
      <w:r w:rsidRPr="00960AAF">
        <w:rPr>
          <w:sz w:val="20"/>
          <w:lang w:eastAsia="en-CA"/>
        </w:rPr>
        <w:lastRenderedPageBreak/>
        <w:t>(</w:t>
      </w:r>
      <w:proofErr w:type="gramStart"/>
      <w:r w:rsidRPr="00960AAF">
        <w:rPr>
          <w:sz w:val="20"/>
          <w:lang w:eastAsia="en-CA"/>
        </w:rPr>
        <w:t>a</w:t>
      </w:r>
      <w:proofErr w:type="gramEnd"/>
      <w:r w:rsidRPr="00960AAF">
        <w:rPr>
          <w:sz w:val="20"/>
          <w:lang w:eastAsia="en-CA"/>
        </w:rPr>
        <w:t>)</w:t>
      </w:r>
      <w:r w:rsidRPr="00960AAF">
        <w:rPr>
          <w:sz w:val="20"/>
          <w:lang w:eastAsia="en-CA"/>
        </w:rPr>
        <w:tab/>
        <w:t>includes an information manager agreement, if an information manager has been identified;</w:t>
      </w:r>
    </w:p>
    <w:p w:rsidR="00960AAF" w:rsidRPr="00960AAF" w:rsidRDefault="00960AAF" w:rsidP="00960AAF">
      <w:pPr>
        <w:pStyle w:val="BodyText"/>
        <w:ind w:left="1440"/>
        <w:rPr>
          <w:sz w:val="20"/>
          <w:lang w:eastAsia="en-CA"/>
        </w:rPr>
      </w:pPr>
      <w:r w:rsidRPr="00960AAF">
        <w:rPr>
          <w:sz w:val="20"/>
          <w:lang w:eastAsia="en-CA"/>
        </w:rPr>
        <w:t>(b)</w:t>
      </w:r>
      <w:r w:rsidRPr="00960AAF">
        <w:rPr>
          <w:sz w:val="20"/>
          <w:lang w:eastAsia="en-CA"/>
        </w:rPr>
        <w:tab/>
      </w:r>
      <w:proofErr w:type="gramStart"/>
      <w:r w:rsidRPr="00960AAF">
        <w:rPr>
          <w:sz w:val="20"/>
          <w:lang w:eastAsia="en-CA"/>
        </w:rPr>
        <w:t>establishes</w:t>
      </w:r>
      <w:proofErr w:type="gramEnd"/>
      <w:r w:rsidRPr="00960AAF">
        <w:rPr>
          <w:sz w:val="20"/>
          <w:lang w:eastAsia="en-CA"/>
        </w:rPr>
        <w:t xml:space="preserve"> processes for the retention, protection, access, disclosure and secure destruction of patient health information; and</w:t>
      </w:r>
    </w:p>
    <w:p w:rsidR="00960AAF" w:rsidRPr="00960AAF" w:rsidRDefault="00960AAF" w:rsidP="00960AAF">
      <w:pPr>
        <w:pStyle w:val="BodyText"/>
        <w:ind w:left="1440"/>
        <w:rPr>
          <w:sz w:val="20"/>
          <w:lang w:eastAsia="en-CA"/>
        </w:rPr>
      </w:pPr>
      <w:r w:rsidRPr="00960AAF">
        <w:rPr>
          <w:sz w:val="20"/>
          <w:lang w:eastAsia="en-CA"/>
        </w:rPr>
        <w:t>(c)</w:t>
      </w:r>
      <w:r w:rsidRPr="00960AAF">
        <w:rPr>
          <w:sz w:val="20"/>
          <w:lang w:eastAsia="en-CA"/>
        </w:rPr>
        <w:tab/>
      </w:r>
      <w:proofErr w:type="gramStart"/>
      <w:r w:rsidRPr="00960AAF">
        <w:rPr>
          <w:sz w:val="20"/>
          <w:lang w:eastAsia="en-CA"/>
        </w:rPr>
        <w:t>clarifies</w:t>
      </w:r>
      <w:proofErr w:type="gramEnd"/>
      <w:r w:rsidRPr="00960AAF">
        <w:rPr>
          <w:sz w:val="20"/>
          <w:lang w:eastAsia="en-CA"/>
        </w:rPr>
        <w:t xml:space="preserve"> roles, expectations and accountabilities of all parties.</w:t>
      </w:r>
    </w:p>
    <w:p w:rsidR="00BE1222" w:rsidRPr="00BE1222" w:rsidRDefault="00BE1222" w:rsidP="00960AAF">
      <w:pPr>
        <w:ind w:right="1440"/>
        <w:jc w:val="both"/>
        <w:rPr>
          <w:color w:val="272727"/>
          <w:sz w:val="20"/>
          <w:lang w:eastAsia="en-CA"/>
        </w:rPr>
      </w:pPr>
    </w:p>
    <w:p w:rsidR="00960AAF" w:rsidRPr="00960AAF" w:rsidRDefault="00960AAF" w:rsidP="00960AAF">
      <w:pPr>
        <w:pStyle w:val="BodyText"/>
        <w:spacing w:before="0"/>
        <w:rPr>
          <w:b/>
        </w:rPr>
      </w:pPr>
      <w:r w:rsidRPr="00960AAF">
        <w:rPr>
          <w:b/>
        </w:rPr>
        <w:t>Regulating Information Sharing Agreements</w:t>
      </w:r>
    </w:p>
    <w:p w:rsidR="00960AAF" w:rsidRDefault="00960AAF" w:rsidP="00D1547C">
      <w:pPr>
        <w:pStyle w:val="BodyText"/>
      </w:pPr>
      <w:r>
        <w:tab/>
        <w:t xml:space="preserve">The same Standard of Practice regarding Patient Record Retention also addresses the sharing of patient health information amongst physicians.  </w:t>
      </w:r>
    </w:p>
    <w:p w:rsidR="00960AAF" w:rsidRPr="00960AAF" w:rsidRDefault="00960AAF" w:rsidP="00960AAF">
      <w:pPr>
        <w:pStyle w:val="BodyText"/>
        <w:ind w:left="720"/>
        <w:rPr>
          <w:sz w:val="20"/>
        </w:rPr>
      </w:pPr>
      <w:r w:rsidRPr="00960AAF">
        <w:rPr>
          <w:sz w:val="20"/>
        </w:rPr>
        <w:t>(3)</w:t>
      </w:r>
      <w:r w:rsidRPr="00960AAF">
        <w:rPr>
          <w:sz w:val="20"/>
        </w:rPr>
        <w:tab/>
        <w:t xml:space="preserve">A regulated member acting as a custodian who shares patient information with other custodian(s) </w:t>
      </w:r>
      <w:r w:rsidRPr="00960AAF">
        <w:rPr>
          <w:b/>
          <w:sz w:val="20"/>
        </w:rPr>
        <w:t>must</w:t>
      </w:r>
      <w:r w:rsidRPr="00960AAF">
        <w:rPr>
          <w:sz w:val="20"/>
        </w:rPr>
        <w:t xml:space="preserve"> have an information sharing agreement that clarifies access, transfer and return of patient records.</w:t>
      </w:r>
    </w:p>
    <w:p w:rsidR="0055487E" w:rsidRDefault="0055487E" w:rsidP="00D1547C">
      <w:pPr>
        <w:pStyle w:val="BodyText"/>
      </w:pPr>
      <w:r>
        <w:t>While at first blush this requirement would appear to be broad enough to capture all situations where one custodian discloses information to another (including when providing continuity of care) as will be seen below, it is likely not that stringent.</w:t>
      </w:r>
    </w:p>
    <w:p w:rsidR="002D6DAD" w:rsidRDefault="002D6DAD" w:rsidP="00D1547C">
      <w:pPr>
        <w:pStyle w:val="BodyText"/>
      </w:pPr>
      <w:r>
        <w:t>The identification of th</w:t>
      </w:r>
      <w:r w:rsidR="00960AAF">
        <w:t>is</w:t>
      </w:r>
      <w:r>
        <w:t xml:space="preserve"> Standard of Practice should not be seen to ignore the physicians’ professional obligations to the patients who are, after all, the owners of the information which is being shared.</w:t>
      </w:r>
    </w:p>
    <w:p w:rsidR="00BE1222" w:rsidRDefault="00AA710E" w:rsidP="00D1547C">
      <w:pPr>
        <w:pStyle w:val="BodyText"/>
      </w:pPr>
      <w:r w:rsidRPr="00AA710E">
        <w:t xml:space="preserve">Physicians </w:t>
      </w:r>
      <w:r w:rsidR="00FD6DEA">
        <w:t>are</w:t>
      </w:r>
      <w:r w:rsidRPr="00AA710E">
        <w:t xml:space="preserve"> bound by the provisions of both the </w:t>
      </w:r>
      <w:r w:rsidRPr="00FD6DEA">
        <w:rPr>
          <w:i/>
        </w:rPr>
        <w:t xml:space="preserve">HIA </w:t>
      </w:r>
      <w:r w:rsidRPr="00AA710E">
        <w:t xml:space="preserve">and the Standards of Practice of the CPSA.  As a result, those physicians who are custodians of identifying health information stored in an EMR are required to be a party to both an information management agreement and an information sharing agreement.  </w:t>
      </w:r>
    </w:p>
    <w:p w:rsidR="002932C9" w:rsidRPr="001F7DD2" w:rsidRDefault="00BB5BEE" w:rsidP="00D1547C">
      <w:pPr>
        <w:pStyle w:val="BodyText"/>
        <w:rPr>
          <w:b/>
        </w:rPr>
      </w:pPr>
      <w:r w:rsidRPr="001F7DD2">
        <w:rPr>
          <w:b/>
        </w:rPr>
        <w:t>V.</w:t>
      </w:r>
      <w:r w:rsidRPr="001F7DD2">
        <w:rPr>
          <w:b/>
        </w:rPr>
        <w:tab/>
      </w:r>
      <w:r w:rsidR="002932C9" w:rsidRPr="001F7DD2">
        <w:rPr>
          <w:b/>
        </w:rPr>
        <w:t>Issues</w:t>
      </w:r>
    </w:p>
    <w:p w:rsidR="002932C9" w:rsidRDefault="009A7613" w:rsidP="009A7613">
      <w:pPr>
        <w:pStyle w:val="BodyText"/>
        <w:numPr>
          <w:ilvl w:val="0"/>
          <w:numId w:val="24"/>
        </w:numPr>
      </w:pPr>
      <w:r>
        <w:t>Who are the information managers in the various PCN models?</w:t>
      </w:r>
    </w:p>
    <w:p w:rsidR="009A7613" w:rsidRDefault="009A7613" w:rsidP="009A7613">
      <w:pPr>
        <w:pStyle w:val="BodyText"/>
        <w:numPr>
          <w:ilvl w:val="0"/>
          <w:numId w:val="24"/>
        </w:numPr>
      </w:pPr>
      <w:r>
        <w:t>Are there information management agreements currently in place between information managers and the custodians of the health information?</w:t>
      </w:r>
    </w:p>
    <w:p w:rsidR="009A7613" w:rsidRDefault="009A7613" w:rsidP="009A7613">
      <w:pPr>
        <w:pStyle w:val="BodyText"/>
        <w:numPr>
          <w:ilvl w:val="0"/>
          <w:numId w:val="24"/>
        </w:numPr>
      </w:pPr>
      <w:r>
        <w:t>If not, or if they are inadequate, what agreements should be put in place?</w:t>
      </w:r>
    </w:p>
    <w:p w:rsidR="009A7613" w:rsidRDefault="009A7613" w:rsidP="009A7613">
      <w:pPr>
        <w:pStyle w:val="BodyText"/>
        <w:numPr>
          <w:ilvl w:val="0"/>
          <w:numId w:val="24"/>
        </w:numPr>
      </w:pPr>
      <w:r>
        <w:t>Are there currently information sharing agreements in place between custodians within the various PCN models?</w:t>
      </w:r>
    </w:p>
    <w:p w:rsidR="009A7613" w:rsidRDefault="009A7613" w:rsidP="009A7613">
      <w:pPr>
        <w:pStyle w:val="BodyText"/>
        <w:numPr>
          <w:ilvl w:val="0"/>
          <w:numId w:val="24"/>
        </w:numPr>
      </w:pPr>
      <w:r>
        <w:t>If not, or if they are inadequate, what agreements should be put in place?</w:t>
      </w:r>
    </w:p>
    <w:p w:rsidR="002932C9" w:rsidRPr="001F7DD2" w:rsidRDefault="00BB5BEE" w:rsidP="00D1547C">
      <w:pPr>
        <w:pStyle w:val="BodyText"/>
        <w:rPr>
          <w:b/>
        </w:rPr>
      </w:pPr>
      <w:r w:rsidRPr="001F7DD2">
        <w:rPr>
          <w:b/>
        </w:rPr>
        <w:t>VI.</w:t>
      </w:r>
      <w:r w:rsidRPr="001F7DD2">
        <w:rPr>
          <w:b/>
        </w:rPr>
        <w:tab/>
      </w:r>
      <w:r w:rsidR="002932C9" w:rsidRPr="001F7DD2">
        <w:rPr>
          <w:b/>
        </w:rPr>
        <w:t>Discussion</w:t>
      </w:r>
    </w:p>
    <w:p w:rsidR="00BB7A79" w:rsidRDefault="000D2140" w:rsidP="00D1547C">
      <w:pPr>
        <w:pStyle w:val="BodyText"/>
      </w:pPr>
      <w:r>
        <w:t xml:space="preserve">As outlined above, the definition of “information manager” in the </w:t>
      </w:r>
      <w:r w:rsidRPr="00FD6DEA">
        <w:rPr>
          <w:i/>
        </w:rPr>
        <w:t>HIA</w:t>
      </w:r>
      <w:r>
        <w:t xml:space="preserve"> is very broad and arguably could capture PCN staff or the PCN itself in addition to the clinic Vendors.  Clearly the wording of s</w:t>
      </w:r>
      <w:r w:rsidR="0024548E">
        <w:t>ection</w:t>
      </w:r>
      <w:r>
        <w:t xml:space="preserve"> 66(1) of the </w:t>
      </w:r>
      <w:r w:rsidRPr="00FD6DEA">
        <w:rPr>
          <w:i/>
        </w:rPr>
        <w:t xml:space="preserve">HIA </w:t>
      </w:r>
      <w:r>
        <w:t>suggests that the services being provided</w:t>
      </w:r>
      <w:r w:rsidR="003022E3">
        <w:t xml:space="preserve"> by an information manager</w:t>
      </w:r>
      <w:r>
        <w:t xml:space="preserve"> must be technical in nature – processing, storing, retrieving or disposing of information, stripping, encoding or otherwise transforming, or providing information management or technology services.  </w:t>
      </w:r>
    </w:p>
    <w:p w:rsidR="009E2054" w:rsidRPr="001F7DD2" w:rsidRDefault="009E2054" w:rsidP="00D1547C">
      <w:pPr>
        <w:pStyle w:val="BodyText"/>
        <w:rPr>
          <w:u w:val="single"/>
        </w:rPr>
      </w:pPr>
      <w:proofErr w:type="gramStart"/>
      <w:r w:rsidRPr="001F7DD2">
        <w:rPr>
          <w:u w:val="single"/>
        </w:rPr>
        <w:lastRenderedPageBreak/>
        <w:t>Affiliate or Information Manager?</w:t>
      </w:r>
      <w:proofErr w:type="gramEnd"/>
    </w:p>
    <w:p w:rsidR="009E2054" w:rsidRDefault="009E2054" w:rsidP="000F0506">
      <w:pPr>
        <w:spacing w:before="240" w:after="120"/>
        <w:jc w:val="both"/>
      </w:pPr>
      <w:r>
        <w:t>Drawing a distinction between affiliates who are providing services to custodians in the course of their employment, and affiliates who are actually information managers is not always easy.  Put simply, while all information managers are affiliates, not all affiliates are information managers.  Each scenario should be examined on its own merits and circumstances and analyzed to determine if, in fact, information management services are being provided and if so, should an information mana</w:t>
      </w:r>
      <w:r w:rsidR="001F7DD2">
        <w:t>g</w:t>
      </w:r>
      <w:r>
        <w:t xml:space="preserve">ement agreement be put in place.  </w:t>
      </w:r>
    </w:p>
    <w:p w:rsidR="00EA636B" w:rsidRDefault="00217A5A" w:rsidP="000F0506">
      <w:pPr>
        <w:spacing w:before="240" w:after="120"/>
        <w:jc w:val="both"/>
      </w:pPr>
      <w:r w:rsidRPr="00217A5A">
        <w:t xml:space="preserve">It may be that the employment agreements between PCN staff and PCNs address information management issues.  </w:t>
      </w:r>
      <w:r w:rsidR="0048587E">
        <w:t xml:space="preserve">However, it is important to distinguish between PCN-employed staff who are providing clinical services at member clinics, and PCN staff who are gathering, using and disclosing information for secondary purposes.  The former group would be seen as </w:t>
      </w:r>
      <w:r w:rsidR="004F688F">
        <w:t>a</w:t>
      </w:r>
      <w:r w:rsidR="0048587E">
        <w:t>ffiliates</w:t>
      </w:r>
      <w:r w:rsidR="004F688F">
        <w:rPr>
          <w:rStyle w:val="FootnoteReference"/>
        </w:rPr>
        <w:footnoteReference w:id="8"/>
      </w:r>
      <w:r w:rsidR="0048587E">
        <w:t xml:space="preserve"> of the physicians at the member clinics, and therefore no specific agreement is required.  The latter group would not necessarily be </w:t>
      </w:r>
      <w:r w:rsidR="004F688F">
        <w:t>a</w:t>
      </w:r>
      <w:r w:rsidR="0048587E">
        <w:t>ffiliates</w:t>
      </w:r>
      <w:r w:rsidR="00F564BE">
        <w:t xml:space="preserve"> (although they could be in certain circumstances)</w:t>
      </w:r>
      <w:r w:rsidR="0048587E">
        <w:t xml:space="preserve">, and some reference to the </w:t>
      </w:r>
      <w:r w:rsidR="0048587E" w:rsidRPr="000F0506">
        <w:rPr>
          <w:i/>
        </w:rPr>
        <w:t>HIA</w:t>
      </w:r>
      <w:r w:rsidR="0048587E">
        <w:t xml:space="preserve"> would be necessary to determine if use or disclosure of this information by these individuals is acceptable.</w:t>
      </w:r>
      <w:r w:rsidR="00BB7A79">
        <w:t xml:space="preserve">  </w:t>
      </w:r>
    </w:p>
    <w:p w:rsidR="009E2054" w:rsidRDefault="00466609" w:rsidP="009E2054">
      <w:pPr>
        <w:pStyle w:val="BodyText"/>
      </w:pPr>
      <w:r>
        <w:t xml:space="preserve">For greater clarity, we have attached a Matrix as Schedule “A” to this Memorandum that lays out the various and varying roles that PCN staff/affiliates may play, and making </w:t>
      </w:r>
      <w:r w:rsidR="00AF0CDD">
        <w:t>suggestions</w:t>
      </w:r>
      <w:r>
        <w:t xml:space="preserve"> regarding scenarios where Information Management Agreements may be required.</w:t>
      </w:r>
      <w:r w:rsidR="009E2054">
        <w:t xml:space="preserve">  Where there is doubt, it would be wise to err on the side of caution and implement such an agreement.</w:t>
      </w:r>
    </w:p>
    <w:p w:rsidR="00217A5A" w:rsidRDefault="00217A5A" w:rsidP="001F7DD2">
      <w:pPr>
        <w:pStyle w:val="BodyText"/>
      </w:pPr>
      <w:r w:rsidRPr="00217A5A">
        <w:t xml:space="preserve">Clinic Managers may have specific provisions in their employment agreements </w:t>
      </w:r>
      <w:r w:rsidR="00EA636B">
        <w:t xml:space="preserve">with the clinics </w:t>
      </w:r>
      <w:r w:rsidRPr="00217A5A">
        <w:t>dealing with the confidentiality of information, the need to protect the information and detailing how, and to whom, information may be disclosed.</w:t>
      </w:r>
      <w:r w:rsidR="0048587E">
        <w:t xml:space="preserve">  That agreement, or that wording, may be sufficient to constitute an Information Management Agreement.  However, a PCN-employed health care professional who attends at a member clinic to provide clinical services would be seen as an </w:t>
      </w:r>
      <w:r w:rsidR="004F688F">
        <w:t>a</w:t>
      </w:r>
      <w:r w:rsidR="0048587E">
        <w:t>ffiliate of the custodial physician(s) at the clinic and would not require an Information Management Agreement.</w:t>
      </w:r>
      <w:r w:rsidR="00811315">
        <w:t xml:space="preserve">  </w:t>
      </w:r>
      <w:r w:rsidRPr="00217A5A">
        <w:t>As well, information management agreements should exist between either the PCNs or member clinics and the Vendors currently providing information management services.  These agreements were standardized in the time frame where the Physician Office Support Program was in place, but may need to be updated.</w:t>
      </w:r>
    </w:p>
    <w:p w:rsidR="009E2054" w:rsidRPr="009E2054" w:rsidRDefault="009E2054" w:rsidP="001F7DD2">
      <w:pPr>
        <w:pStyle w:val="BodyText"/>
      </w:pPr>
      <w:r>
        <w:t xml:space="preserve">The other point is that it is not enough to simply give direction to an affiliate, or to put an information management agreement in place – the custodial responsibilities extend to </w:t>
      </w:r>
      <w:r w:rsidR="00BB5BEE">
        <w:t xml:space="preserve">a continuing obligation to </w:t>
      </w:r>
      <w:r>
        <w:t>monitor and ensur</w:t>
      </w:r>
      <w:r w:rsidR="00BB5BEE">
        <w:t>e</w:t>
      </w:r>
      <w:r>
        <w:t xml:space="preserve"> that the directions, or the terms </w:t>
      </w:r>
      <w:r w:rsidR="005C1CFD">
        <w:t>of the agreement are being hono</w:t>
      </w:r>
      <w:r>
        <w:t>red and that the affiliate or information manager are not going beyond the direction, or the terms and conditions of the agreement.</w:t>
      </w:r>
    </w:p>
    <w:p w:rsidR="000D2140" w:rsidRDefault="009E2054" w:rsidP="00D1547C">
      <w:pPr>
        <w:pStyle w:val="BodyText"/>
      </w:pPr>
      <w:r>
        <w:t>I</w:t>
      </w:r>
      <w:r w:rsidR="000D2140">
        <w:t>f information management services are being provided, then agreements must be put in place between those persons/entities providing the services and the custodians of the health information which is the subject matter of the services.  Those agreements must address the following</w:t>
      </w:r>
      <w:r w:rsidR="00FD6DEA">
        <w:rPr>
          <w:rStyle w:val="FootnoteReference"/>
        </w:rPr>
        <w:footnoteReference w:id="9"/>
      </w:r>
      <w:r w:rsidR="000D2140">
        <w:t>:</w:t>
      </w:r>
    </w:p>
    <w:p w:rsidR="000D2140" w:rsidRPr="00AB2529" w:rsidRDefault="000D2140" w:rsidP="000D2140">
      <w:pPr>
        <w:pStyle w:val="BodyText"/>
        <w:numPr>
          <w:ilvl w:val="2"/>
          <w:numId w:val="19"/>
        </w:numPr>
        <w:ind w:left="1080"/>
        <w:rPr>
          <w:szCs w:val="22"/>
          <w:lang w:val="en-CA" w:eastAsia="en-CA"/>
        </w:rPr>
      </w:pPr>
      <w:r w:rsidRPr="00AB2529">
        <w:rPr>
          <w:szCs w:val="22"/>
          <w:lang w:val="en-CA" w:eastAsia="en-CA"/>
        </w:rPr>
        <w:t>the objectives of the agreement and the principles to guide the agreement;</w:t>
      </w:r>
    </w:p>
    <w:p w:rsidR="000D2140" w:rsidRPr="00AB2529" w:rsidRDefault="000D2140" w:rsidP="000D2140">
      <w:pPr>
        <w:pStyle w:val="BodyText"/>
        <w:numPr>
          <w:ilvl w:val="2"/>
          <w:numId w:val="19"/>
        </w:numPr>
        <w:autoSpaceDE w:val="0"/>
        <w:autoSpaceDN w:val="0"/>
        <w:adjustRightInd w:val="0"/>
        <w:spacing w:before="100" w:after="100"/>
        <w:ind w:left="1080" w:right="1440"/>
        <w:rPr>
          <w:szCs w:val="22"/>
          <w:lang w:val="en-CA" w:eastAsia="en-CA"/>
        </w:rPr>
      </w:pPr>
      <w:r w:rsidRPr="00AB2529">
        <w:rPr>
          <w:szCs w:val="22"/>
          <w:lang w:val="en-CA" w:eastAsia="en-CA"/>
        </w:rPr>
        <w:lastRenderedPageBreak/>
        <w:t>whether or not the information manager is permitted to collect health information from any other custodian(s)</w:t>
      </w:r>
      <w:r w:rsidR="00AB2529" w:rsidRPr="00AB2529">
        <w:rPr>
          <w:szCs w:val="22"/>
          <w:lang w:val="en-CA" w:eastAsia="en-CA"/>
        </w:rPr>
        <w:t>;</w:t>
      </w:r>
    </w:p>
    <w:p w:rsidR="000D2140" w:rsidRPr="00AB2529" w:rsidRDefault="000D2140" w:rsidP="000D2140">
      <w:pPr>
        <w:pStyle w:val="BodyText"/>
        <w:numPr>
          <w:ilvl w:val="2"/>
          <w:numId w:val="19"/>
        </w:numPr>
        <w:autoSpaceDE w:val="0"/>
        <w:autoSpaceDN w:val="0"/>
        <w:adjustRightInd w:val="0"/>
        <w:spacing w:before="100" w:after="100"/>
        <w:ind w:left="1080" w:right="1440"/>
        <w:rPr>
          <w:szCs w:val="22"/>
          <w:lang w:val="en-CA" w:eastAsia="en-CA"/>
        </w:rPr>
      </w:pPr>
      <w:r w:rsidRPr="00AB2529">
        <w:rPr>
          <w:szCs w:val="22"/>
          <w:lang w:val="en-CA" w:eastAsia="en-CA"/>
        </w:rPr>
        <w:t>whether or not the information manager may use health information provided to it</w:t>
      </w:r>
      <w:r w:rsidR="00AB2529" w:rsidRPr="00AB2529">
        <w:rPr>
          <w:szCs w:val="22"/>
          <w:lang w:val="en-CA" w:eastAsia="en-CA"/>
        </w:rPr>
        <w:t>;</w:t>
      </w:r>
    </w:p>
    <w:p w:rsidR="000D2140" w:rsidRPr="00AB2529" w:rsidRDefault="000D2140" w:rsidP="000D2140">
      <w:pPr>
        <w:pStyle w:val="BodyText"/>
        <w:numPr>
          <w:ilvl w:val="2"/>
          <w:numId w:val="19"/>
        </w:numPr>
        <w:autoSpaceDE w:val="0"/>
        <w:autoSpaceDN w:val="0"/>
        <w:adjustRightInd w:val="0"/>
        <w:spacing w:before="100" w:after="100"/>
        <w:ind w:left="1080" w:right="1440"/>
        <w:rPr>
          <w:szCs w:val="22"/>
          <w:lang w:val="en-CA" w:eastAsia="en-CA"/>
        </w:rPr>
      </w:pPr>
      <w:r w:rsidRPr="00AB2529">
        <w:rPr>
          <w:szCs w:val="22"/>
          <w:lang w:val="en-CA" w:eastAsia="en-CA"/>
        </w:rPr>
        <w:t>whether or not the information manager may disclose health information provided to it by the custodian</w:t>
      </w:r>
      <w:r w:rsidR="00AB2529" w:rsidRPr="00AB2529">
        <w:rPr>
          <w:szCs w:val="22"/>
          <w:lang w:val="en-CA" w:eastAsia="en-CA"/>
        </w:rPr>
        <w:t>;</w:t>
      </w:r>
    </w:p>
    <w:p w:rsidR="000D2140" w:rsidRPr="00AB2529" w:rsidRDefault="000D2140" w:rsidP="00AB2529">
      <w:pPr>
        <w:pStyle w:val="BodyText"/>
        <w:numPr>
          <w:ilvl w:val="2"/>
          <w:numId w:val="19"/>
        </w:numPr>
        <w:autoSpaceDE w:val="0"/>
        <w:autoSpaceDN w:val="0"/>
        <w:adjustRightInd w:val="0"/>
        <w:spacing w:before="100" w:after="100"/>
        <w:ind w:left="1080" w:right="1440"/>
        <w:rPr>
          <w:szCs w:val="22"/>
          <w:lang w:val="en-CA" w:eastAsia="en-CA"/>
        </w:rPr>
      </w:pPr>
      <w:r w:rsidRPr="00AB2529">
        <w:rPr>
          <w:szCs w:val="22"/>
          <w:lang w:val="en-CA" w:eastAsia="en-CA"/>
        </w:rPr>
        <w:t xml:space="preserve">the process for the information manager to respond to access requests under Part 2 of the </w:t>
      </w:r>
      <w:r w:rsidR="00AB2529" w:rsidRPr="00AB2529">
        <w:rPr>
          <w:szCs w:val="22"/>
          <w:lang w:val="en-CA" w:eastAsia="en-CA"/>
        </w:rPr>
        <w:t>Act;</w:t>
      </w:r>
    </w:p>
    <w:p w:rsidR="000D2140" w:rsidRPr="00AB2529" w:rsidRDefault="000D2140" w:rsidP="00AB2529">
      <w:pPr>
        <w:pStyle w:val="BodyText"/>
        <w:numPr>
          <w:ilvl w:val="2"/>
          <w:numId w:val="19"/>
        </w:numPr>
        <w:autoSpaceDE w:val="0"/>
        <w:autoSpaceDN w:val="0"/>
        <w:adjustRightInd w:val="0"/>
        <w:spacing w:before="100" w:after="100"/>
        <w:ind w:left="1080" w:right="1440"/>
        <w:rPr>
          <w:szCs w:val="22"/>
          <w:lang w:val="en-CA" w:eastAsia="en-CA"/>
        </w:rPr>
      </w:pPr>
      <w:r w:rsidRPr="00AB2529">
        <w:rPr>
          <w:szCs w:val="22"/>
          <w:lang w:val="en-CA" w:eastAsia="en-CA"/>
        </w:rPr>
        <w:t>the process for the information manager to respond to requests to amend or correct health information under Part 2 of the Act</w:t>
      </w:r>
      <w:r w:rsidR="00AB2529" w:rsidRPr="00AB2529">
        <w:rPr>
          <w:szCs w:val="22"/>
          <w:lang w:val="en-CA" w:eastAsia="en-CA"/>
        </w:rPr>
        <w:t>;</w:t>
      </w:r>
    </w:p>
    <w:p w:rsidR="000D2140" w:rsidRPr="00AB2529" w:rsidRDefault="000D2140" w:rsidP="00AB2529">
      <w:pPr>
        <w:pStyle w:val="BodyText"/>
        <w:numPr>
          <w:ilvl w:val="2"/>
          <w:numId w:val="19"/>
        </w:numPr>
        <w:autoSpaceDE w:val="0"/>
        <w:autoSpaceDN w:val="0"/>
        <w:adjustRightInd w:val="0"/>
        <w:spacing w:before="100" w:after="100"/>
        <w:ind w:left="1080" w:right="1440"/>
        <w:rPr>
          <w:szCs w:val="22"/>
          <w:lang w:val="en-CA" w:eastAsia="en-CA"/>
        </w:rPr>
      </w:pPr>
      <w:r w:rsidRPr="00AB2529">
        <w:rPr>
          <w:szCs w:val="22"/>
          <w:lang w:val="en-CA" w:eastAsia="en-CA"/>
        </w:rPr>
        <w:t>how health information provided to the information manager is to be protected, managed, returned or destroyed</w:t>
      </w:r>
      <w:r w:rsidR="00AB2529" w:rsidRPr="00AB2529">
        <w:rPr>
          <w:szCs w:val="22"/>
          <w:lang w:val="en-CA" w:eastAsia="en-CA"/>
        </w:rPr>
        <w:t>;</w:t>
      </w:r>
    </w:p>
    <w:p w:rsidR="000D2140" w:rsidRPr="00AB2529" w:rsidRDefault="000D2140" w:rsidP="00AB2529">
      <w:pPr>
        <w:pStyle w:val="BodyText"/>
        <w:numPr>
          <w:ilvl w:val="2"/>
          <w:numId w:val="19"/>
        </w:numPr>
        <w:autoSpaceDE w:val="0"/>
        <w:autoSpaceDN w:val="0"/>
        <w:adjustRightInd w:val="0"/>
        <w:spacing w:before="100" w:after="100"/>
        <w:ind w:left="1080" w:right="1440"/>
        <w:rPr>
          <w:szCs w:val="22"/>
          <w:lang w:val="en-CA" w:eastAsia="en-CA"/>
        </w:rPr>
      </w:pPr>
      <w:r w:rsidRPr="00AB2529">
        <w:rPr>
          <w:szCs w:val="22"/>
          <w:lang w:val="en-CA" w:eastAsia="en-CA"/>
        </w:rPr>
        <w:t>how the information manager is to address an expressed wish of an individual relating to the disclosure of that individual’s health</w:t>
      </w:r>
      <w:r w:rsidR="003022E3">
        <w:rPr>
          <w:szCs w:val="22"/>
          <w:lang w:val="en-CA" w:eastAsia="en-CA"/>
        </w:rPr>
        <w:t>;</w:t>
      </w:r>
      <w:r w:rsidRPr="00AB2529">
        <w:rPr>
          <w:szCs w:val="22"/>
          <w:lang w:val="en-CA" w:eastAsia="en-CA"/>
        </w:rPr>
        <w:t xml:space="preserve"> and</w:t>
      </w:r>
    </w:p>
    <w:p w:rsidR="000D2140" w:rsidRPr="00A9340B" w:rsidRDefault="000D2140" w:rsidP="000D2140">
      <w:pPr>
        <w:pStyle w:val="BodyText"/>
        <w:numPr>
          <w:ilvl w:val="2"/>
          <w:numId w:val="19"/>
        </w:numPr>
        <w:autoSpaceDE w:val="0"/>
        <w:autoSpaceDN w:val="0"/>
        <w:adjustRightInd w:val="0"/>
        <w:spacing w:before="100" w:after="100"/>
        <w:ind w:left="1080" w:right="1440"/>
      </w:pPr>
      <w:proofErr w:type="gramStart"/>
      <w:r w:rsidRPr="00AB2529">
        <w:rPr>
          <w:szCs w:val="22"/>
          <w:lang w:val="en-CA" w:eastAsia="en-CA"/>
        </w:rPr>
        <w:t>how</w:t>
      </w:r>
      <w:proofErr w:type="gramEnd"/>
      <w:r w:rsidRPr="00AB2529">
        <w:rPr>
          <w:szCs w:val="22"/>
          <w:lang w:val="en-CA" w:eastAsia="en-CA"/>
        </w:rPr>
        <w:t xml:space="preserve"> an agreement can be terminated</w:t>
      </w:r>
      <w:r w:rsidR="003022E3">
        <w:rPr>
          <w:szCs w:val="22"/>
          <w:lang w:val="en-CA" w:eastAsia="en-CA"/>
        </w:rPr>
        <w:t xml:space="preserve"> and what happens to stored information upon termination.</w:t>
      </w:r>
    </w:p>
    <w:p w:rsidR="00A9340B" w:rsidRDefault="00A9340B" w:rsidP="00A9340B">
      <w:pPr>
        <w:pStyle w:val="BodyText"/>
        <w:autoSpaceDE w:val="0"/>
        <w:autoSpaceDN w:val="0"/>
        <w:adjustRightInd w:val="0"/>
        <w:spacing w:before="100" w:after="100"/>
      </w:pPr>
      <w:r>
        <w:t>It is also important to review and understand the nature of current disclosure or sharing with non-custodial third-parties such as PCN clinic managers, executive directors</w:t>
      </w:r>
      <w:r w:rsidR="00AA710E">
        <w:t>,</w:t>
      </w:r>
      <w:r>
        <w:t xml:space="preserve"> or panel facilitators, and under what circumstances or pursuant to what agreements such use or disclosure is occurring.  </w:t>
      </w:r>
      <w:r w:rsidR="00225482">
        <w:t>C</w:t>
      </w:r>
      <w:r>
        <w:t xml:space="preserve">ustodians who share </w:t>
      </w:r>
      <w:r w:rsidR="004F688F">
        <w:t xml:space="preserve">identifiable </w:t>
      </w:r>
      <w:r>
        <w:t>health information with other custodians</w:t>
      </w:r>
      <w:r w:rsidR="004F688F">
        <w:t xml:space="preserve"> in an EMR</w:t>
      </w:r>
      <w:r>
        <w:t xml:space="preserve"> should also have agreements in place governing </w:t>
      </w:r>
      <w:r w:rsidR="0024548E">
        <w:t xml:space="preserve">that </w:t>
      </w:r>
      <w:r>
        <w:t>sharing.</w:t>
      </w:r>
      <w:r w:rsidR="00A34B98">
        <w:t xml:space="preserve">  This is in accord</w:t>
      </w:r>
      <w:r w:rsidR="0024548E">
        <w:t>ance</w:t>
      </w:r>
      <w:r w:rsidR="00A34B98">
        <w:t xml:space="preserve"> with article 15(b) of the CPSA Standards of Practice.</w:t>
      </w:r>
    </w:p>
    <w:p w:rsidR="009E2054" w:rsidRPr="001F7DD2" w:rsidRDefault="009E2054" w:rsidP="00A9340B">
      <w:pPr>
        <w:pStyle w:val="BodyText"/>
        <w:autoSpaceDE w:val="0"/>
        <w:autoSpaceDN w:val="0"/>
        <w:adjustRightInd w:val="0"/>
        <w:spacing w:before="100" w:after="100"/>
        <w:rPr>
          <w:u w:val="single"/>
        </w:rPr>
      </w:pPr>
      <w:r w:rsidRPr="001F7DD2">
        <w:rPr>
          <w:u w:val="single"/>
        </w:rPr>
        <w:t>Use vs. Disclosure</w:t>
      </w:r>
    </w:p>
    <w:p w:rsidR="00811315" w:rsidRDefault="00225482" w:rsidP="00A9340B">
      <w:pPr>
        <w:pStyle w:val="BodyText"/>
        <w:autoSpaceDE w:val="0"/>
        <w:autoSpaceDN w:val="0"/>
        <w:adjustRightInd w:val="0"/>
        <w:spacing w:before="100" w:after="100"/>
      </w:pPr>
      <w:r>
        <w:t>In reviewing the use or disclosure of health information by custodians, PCNs</w:t>
      </w:r>
      <w:r w:rsidR="00AA710E">
        <w:t>,</w:t>
      </w:r>
      <w:r>
        <w:t xml:space="preserve"> and PCN staff, i</w:t>
      </w:r>
      <w:r w:rsidR="00A34B98">
        <w:t xml:space="preserve">t is important to note that the secondary uses and disclosures of individually identifying health information are clearly outlined in the </w:t>
      </w:r>
      <w:r w:rsidR="00A34B98" w:rsidRPr="00225482">
        <w:rPr>
          <w:i/>
        </w:rPr>
        <w:t>HIA</w:t>
      </w:r>
      <w:r w:rsidR="00525433">
        <w:rPr>
          <w:i/>
        </w:rPr>
        <w:t>.</w:t>
      </w:r>
      <w:r w:rsidR="0048587E" w:rsidRPr="00811315">
        <w:t xml:space="preserve">  </w:t>
      </w:r>
      <w:r w:rsidR="005437D3" w:rsidRPr="00811315">
        <w:t xml:space="preserve">It is obviously critical to distinguish between </w:t>
      </w:r>
      <w:r w:rsidR="004B506C">
        <w:t xml:space="preserve">the PCNs or the custodians’ </w:t>
      </w:r>
      <w:r w:rsidR="005437D3" w:rsidRPr="00811315">
        <w:t>use and disclosure of information in this regard</w:t>
      </w:r>
      <w:r w:rsidR="005437D3" w:rsidRPr="005437D3">
        <w:t xml:space="preserve"> because the rules are different.  For example, in the confines of a member clinic, </w:t>
      </w:r>
      <w:r w:rsidR="007111B7">
        <w:t>h</w:t>
      </w:r>
      <w:r w:rsidR="005437D3" w:rsidRPr="005437D3">
        <w:t xml:space="preserve">ealth </w:t>
      </w:r>
      <w:r w:rsidR="007111B7">
        <w:t>i</w:t>
      </w:r>
      <w:r w:rsidR="005437D3" w:rsidRPr="005437D3">
        <w:t xml:space="preserve">nformation gathered in the course of clinical visits may be viewed, relied upon and </w:t>
      </w:r>
      <w:r w:rsidR="005437D3">
        <w:t>“used” by custodians for many purposes.  The concept of “using” information includes viewing, and even copying.</w:t>
      </w:r>
      <w:r w:rsidR="004B506C">
        <w:t xml:space="preserve">  The key is that the custody and control of the information is not lost.</w:t>
      </w:r>
      <w:r w:rsidR="005437D3">
        <w:t xml:space="preserve">   </w:t>
      </w:r>
    </w:p>
    <w:p w:rsidR="005437D3" w:rsidRPr="005437D3" w:rsidRDefault="005437D3" w:rsidP="00A9340B">
      <w:pPr>
        <w:pStyle w:val="BodyText"/>
        <w:autoSpaceDE w:val="0"/>
        <w:autoSpaceDN w:val="0"/>
        <w:adjustRightInd w:val="0"/>
        <w:spacing w:before="100" w:after="100"/>
      </w:pPr>
      <w:r>
        <w:t>However, the ability to “disclose” that information to third parties outside the clinic is more constrained.  “Disclosure” goes one step further and embodies the notion of releasing custody or control of the information.</w:t>
      </w:r>
    </w:p>
    <w:p w:rsidR="00A34B98" w:rsidRDefault="00A34B98" w:rsidP="007111B7">
      <w:pPr>
        <w:pStyle w:val="BodyText"/>
        <w:autoSpaceDE w:val="0"/>
        <w:autoSpaceDN w:val="0"/>
        <w:adjustRightInd w:val="0"/>
        <w:spacing w:after="100"/>
      </w:pPr>
      <w:r>
        <w:t>S</w:t>
      </w:r>
      <w:r w:rsidR="0024548E">
        <w:t>ection</w:t>
      </w:r>
      <w:r>
        <w:t xml:space="preserve"> 27(1) of the </w:t>
      </w:r>
      <w:r w:rsidRPr="00225482">
        <w:rPr>
          <w:i/>
        </w:rPr>
        <w:t>HIA</w:t>
      </w:r>
      <w:r>
        <w:t xml:space="preserve"> spells out how a </w:t>
      </w:r>
      <w:r w:rsidR="004B506C">
        <w:t>c</w:t>
      </w:r>
      <w:r>
        <w:t xml:space="preserve">ustodian may </w:t>
      </w:r>
      <w:r w:rsidRPr="00225482">
        <w:rPr>
          <w:u w:val="single"/>
        </w:rPr>
        <w:t>use</w:t>
      </w:r>
      <w:r>
        <w:t xml:space="preserve"> individually identifying health information in its custody or control.  Those are as follows:</w:t>
      </w:r>
    </w:p>
    <w:p w:rsidR="00A34B98" w:rsidRDefault="00A34B98" w:rsidP="00A9340B">
      <w:pPr>
        <w:pStyle w:val="BodyText"/>
        <w:autoSpaceDE w:val="0"/>
        <w:autoSpaceDN w:val="0"/>
        <w:adjustRightInd w:val="0"/>
        <w:spacing w:before="100" w:after="100"/>
      </w:pPr>
      <w:r>
        <w:tab/>
        <w:t>(a)</w:t>
      </w:r>
      <w:r>
        <w:tab/>
      </w:r>
      <w:proofErr w:type="gramStart"/>
      <w:r>
        <w:t>providing</w:t>
      </w:r>
      <w:proofErr w:type="gramEnd"/>
      <w:r>
        <w:t xml:space="preserve"> health services;</w:t>
      </w:r>
    </w:p>
    <w:p w:rsidR="00A34B98" w:rsidRDefault="00A34B98" w:rsidP="00A9340B">
      <w:pPr>
        <w:pStyle w:val="BodyText"/>
        <w:autoSpaceDE w:val="0"/>
        <w:autoSpaceDN w:val="0"/>
        <w:adjustRightInd w:val="0"/>
        <w:spacing w:before="100" w:after="100"/>
      </w:pPr>
      <w:r>
        <w:tab/>
        <w:t>(b)</w:t>
      </w:r>
      <w:r>
        <w:tab/>
      </w:r>
      <w:proofErr w:type="gramStart"/>
      <w:r>
        <w:t>determining</w:t>
      </w:r>
      <w:proofErr w:type="gramEnd"/>
      <w:r>
        <w:t xml:space="preserve"> the eligibility of an individual to receive health services;</w:t>
      </w:r>
    </w:p>
    <w:p w:rsidR="00A34B98" w:rsidRDefault="00A34B98" w:rsidP="00A9340B">
      <w:pPr>
        <w:pStyle w:val="BodyText"/>
        <w:autoSpaceDE w:val="0"/>
        <w:autoSpaceDN w:val="0"/>
        <w:adjustRightInd w:val="0"/>
        <w:spacing w:before="100" w:after="100"/>
      </w:pPr>
      <w:r>
        <w:tab/>
        <w:t>(c)</w:t>
      </w:r>
      <w:r>
        <w:tab/>
      </w:r>
      <w:proofErr w:type="gramStart"/>
      <w:r>
        <w:t>conducting</w:t>
      </w:r>
      <w:proofErr w:type="gramEnd"/>
      <w:r>
        <w:t xml:space="preserve"> investigations, disciplinary proceedings or practice reviews;</w:t>
      </w:r>
    </w:p>
    <w:p w:rsidR="00A34B98" w:rsidRDefault="00A34B98" w:rsidP="00A9340B">
      <w:pPr>
        <w:pStyle w:val="BodyText"/>
        <w:autoSpaceDE w:val="0"/>
        <w:autoSpaceDN w:val="0"/>
        <w:adjustRightInd w:val="0"/>
        <w:spacing w:before="100" w:after="100"/>
      </w:pPr>
      <w:r>
        <w:tab/>
        <w:t>(d)</w:t>
      </w:r>
      <w:r>
        <w:tab/>
      </w:r>
      <w:proofErr w:type="gramStart"/>
      <w:r>
        <w:t>conducting</w:t>
      </w:r>
      <w:proofErr w:type="gramEnd"/>
      <w:r>
        <w:t xml:space="preserve"> research on certain terms and conditions;</w:t>
      </w:r>
    </w:p>
    <w:p w:rsidR="00A34B98" w:rsidRDefault="00A34B98" w:rsidP="00A9340B">
      <w:pPr>
        <w:pStyle w:val="BodyText"/>
        <w:autoSpaceDE w:val="0"/>
        <w:autoSpaceDN w:val="0"/>
        <w:adjustRightInd w:val="0"/>
        <w:spacing w:before="100" w:after="100"/>
      </w:pPr>
      <w:r>
        <w:tab/>
        <w:t>(e)</w:t>
      </w:r>
      <w:r>
        <w:tab/>
      </w:r>
      <w:proofErr w:type="gramStart"/>
      <w:r>
        <w:t>providing</w:t>
      </w:r>
      <w:proofErr w:type="gramEnd"/>
      <w:r>
        <w:t xml:space="preserve"> for health services provider education;</w:t>
      </w:r>
    </w:p>
    <w:p w:rsidR="00A34B98" w:rsidRDefault="00A34B98" w:rsidP="00A9340B">
      <w:pPr>
        <w:pStyle w:val="BodyText"/>
        <w:autoSpaceDE w:val="0"/>
        <w:autoSpaceDN w:val="0"/>
        <w:adjustRightInd w:val="0"/>
        <w:spacing w:before="100" w:after="100"/>
      </w:pPr>
      <w:r>
        <w:tab/>
        <w:t>(f)</w:t>
      </w:r>
      <w:r>
        <w:tab/>
      </w:r>
      <w:proofErr w:type="gramStart"/>
      <w:r>
        <w:t>carrying</w:t>
      </w:r>
      <w:proofErr w:type="gramEnd"/>
      <w:r>
        <w:t xml:space="preserve"> out a purpose provided for by Canada’s or Alberta’s laws; and</w:t>
      </w:r>
    </w:p>
    <w:p w:rsidR="00A34B98" w:rsidRDefault="00A34B98" w:rsidP="00792B26">
      <w:pPr>
        <w:pStyle w:val="BodyText"/>
        <w:autoSpaceDE w:val="0"/>
        <w:autoSpaceDN w:val="0"/>
        <w:adjustRightInd w:val="0"/>
        <w:spacing w:before="100" w:after="100"/>
        <w:ind w:left="720"/>
      </w:pPr>
      <w:r>
        <w:lastRenderedPageBreak/>
        <w:t>(g)</w:t>
      </w:r>
      <w:r>
        <w:tab/>
        <w:t>for internal management purposes, including planning, resource allocation, policy development, quality improvement, monitoring, audit, evaluation, reporting, obtaining or processing payment for health services and human resource management.</w:t>
      </w:r>
    </w:p>
    <w:p w:rsidR="00A34B98" w:rsidRDefault="00A34B98" w:rsidP="00A34B98">
      <w:pPr>
        <w:pStyle w:val="BodyText"/>
        <w:autoSpaceDE w:val="0"/>
        <w:autoSpaceDN w:val="0"/>
        <w:adjustRightInd w:val="0"/>
        <w:spacing w:before="100" w:after="100"/>
      </w:pPr>
      <w:r>
        <w:t>Given that custodians are entitled to utilize the services of affiliates in order to fulfill custodial duties and obligations, it would seem that the use of health information by the PCN</w:t>
      </w:r>
      <w:r w:rsidR="00225482">
        <w:t xml:space="preserve"> staff</w:t>
      </w:r>
      <w:r>
        <w:t xml:space="preserve"> for the purpose of analyzing efficiencies, uses</w:t>
      </w:r>
      <w:r w:rsidR="00473A9D">
        <w:t>,</w:t>
      </w:r>
      <w:r>
        <w:t xml:space="preserve"> and quality improvement within the PCN </w:t>
      </w:r>
      <w:r w:rsidR="005437D3">
        <w:t>is</w:t>
      </w:r>
      <w:r>
        <w:t xml:space="preserve"> authorized under the </w:t>
      </w:r>
      <w:r w:rsidRPr="00225482">
        <w:rPr>
          <w:i/>
        </w:rPr>
        <w:t>HIA</w:t>
      </w:r>
      <w:r>
        <w:t>.</w:t>
      </w:r>
    </w:p>
    <w:p w:rsidR="00BE0A93" w:rsidRDefault="00A34B98" w:rsidP="00BE0A93">
      <w:pPr>
        <w:pStyle w:val="BodyText"/>
        <w:autoSpaceDE w:val="0"/>
        <w:autoSpaceDN w:val="0"/>
        <w:adjustRightInd w:val="0"/>
        <w:spacing w:before="100" w:after="100"/>
      </w:pPr>
      <w:r>
        <w:t>S</w:t>
      </w:r>
      <w:r w:rsidR="00BE0A93">
        <w:t>ections</w:t>
      </w:r>
      <w:r>
        <w:t xml:space="preserve"> 35 – 39 of the </w:t>
      </w:r>
      <w:r w:rsidRPr="00225482">
        <w:rPr>
          <w:i/>
        </w:rPr>
        <w:t>HIA</w:t>
      </w:r>
      <w:r>
        <w:t xml:space="preserve"> deal with authorized </w:t>
      </w:r>
      <w:r w:rsidRPr="00225482">
        <w:rPr>
          <w:u w:val="single"/>
        </w:rPr>
        <w:t>disclosures</w:t>
      </w:r>
      <w:r>
        <w:t xml:space="preserve"> of individually identifying health information by custodians with custody and control of that information.  </w:t>
      </w:r>
      <w:r w:rsidR="00225482">
        <w:t>Significantly, t</w:t>
      </w:r>
      <w:r>
        <w:t xml:space="preserve">he anticipated disclosures </w:t>
      </w:r>
      <w:r w:rsidR="00BE0A93">
        <w:t xml:space="preserve">do </w:t>
      </w:r>
      <w:r w:rsidR="00BE0A93" w:rsidRPr="00BE0A93">
        <w:rPr>
          <w:u w:val="single"/>
        </w:rPr>
        <w:t>not</w:t>
      </w:r>
      <w:r w:rsidR="00BE0A93">
        <w:t xml:space="preserve"> include the ability to disclose information to non-custodians such as executive directors, clinic managers</w:t>
      </w:r>
      <w:r w:rsidR="00473A9D">
        <w:t>,</w:t>
      </w:r>
      <w:r w:rsidR="00BE0A93">
        <w:t xml:space="preserve"> or panel facilitators for the purposes of analyzing the operations of the PCN or carrying out </w:t>
      </w:r>
      <w:r w:rsidR="00F564BE">
        <w:t>quality improvement or monitoring</w:t>
      </w:r>
      <w:r w:rsidR="00BE0A93">
        <w:t xml:space="preserve"> (unless the panel is designated as a Quality Assurance Committee pursuant to s</w:t>
      </w:r>
      <w:r w:rsidR="00473A9D">
        <w:t>ection</w:t>
      </w:r>
      <w:r w:rsidR="00BE0A93">
        <w:t xml:space="preserve"> 9 of the </w:t>
      </w:r>
      <w:r w:rsidR="00BE0A93" w:rsidRPr="00BE0A93">
        <w:rPr>
          <w:i/>
        </w:rPr>
        <w:t>Alberta Evidence Act</w:t>
      </w:r>
      <w:r w:rsidR="00BE0A93">
        <w:t xml:space="preserve">).  </w:t>
      </w:r>
      <w:r w:rsidR="00F564BE">
        <w:t>(Note: if those executive directors, clinic managers or panel facilitators are actually affiliates of the custodians, then disclosure is authorized under the HIA).</w:t>
      </w:r>
    </w:p>
    <w:p w:rsidR="00C57BA3" w:rsidRDefault="00C57BA3" w:rsidP="00BE0A93">
      <w:pPr>
        <w:pStyle w:val="BodyText"/>
        <w:autoSpaceDE w:val="0"/>
        <w:autoSpaceDN w:val="0"/>
        <w:adjustRightInd w:val="0"/>
        <w:spacing w:before="100" w:after="100"/>
      </w:pPr>
      <w:r>
        <w:t xml:space="preserve">It is noteworthy that a custodian may disclose individually identifying health information </w:t>
      </w:r>
      <w:r w:rsidRPr="00792B26">
        <w:rPr>
          <w:u w:val="single"/>
        </w:rPr>
        <w:t xml:space="preserve">to another </w:t>
      </w:r>
      <w:r w:rsidR="005437D3">
        <w:rPr>
          <w:u w:val="single"/>
        </w:rPr>
        <w:t>c</w:t>
      </w:r>
      <w:r w:rsidRPr="00792B26">
        <w:rPr>
          <w:u w:val="single"/>
        </w:rPr>
        <w:t xml:space="preserve">ustodian </w:t>
      </w:r>
      <w:r>
        <w:t>for the same purposes as identified above, under the discussion regarding uses.  Those uses include “…internal management purposes, including planning, resource allocation, policy development, quality improvement, monitoring, audit, evaluation, reporting, obtaining or processing payment for health services and human resource management”.</w:t>
      </w:r>
      <w:r w:rsidR="00473A9D">
        <w:rPr>
          <w:rStyle w:val="FootnoteReference"/>
        </w:rPr>
        <w:footnoteReference w:id="10"/>
      </w:r>
      <w:r>
        <w:t xml:space="preserve">  However, the key is that the disclosure must be </w:t>
      </w:r>
      <w:r w:rsidRPr="00792B26">
        <w:rPr>
          <w:u w:val="single"/>
        </w:rPr>
        <w:t>to another custodian</w:t>
      </w:r>
      <w:r>
        <w:t>.</w:t>
      </w:r>
    </w:p>
    <w:p w:rsidR="0055487E" w:rsidRDefault="0055487E" w:rsidP="00BE0A93">
      <w:pPr>
        <w:pStyle w:val="BodyText"/>
        <w:autoSpaceDE w:val="0"/>
        <w:autoSpaceDN w:val="0"/>
        <w:adjustRightInd w:val="0"/>
        <w:spacing w:before="100" w:after="100"/>
      </w:pPr>
      <w:r>
        <w:t xml:space="preserve">The notion of “disclosure” is in many ways synonymous with the “sharing” of information.  So, a disclosure of information to another custodian would be seen as a sharing of such information and therefore would bring into question the need for an Information Sharing Agreement.  This would be onerous indeed if every custodian involved in the continuity of care for a given patient was required to enter into an Information Sharing Agreement before disclosing information.  The answer is, under the HIA a custodian may disclose individually identifying health information to another custodian outside of his/her clinic for the purpose of providing a health service, and that does not trigger the need for an ISA because it is for the purpose of patient treatment.  </w:t>
      </w:r>
    </w:p>
    <w:p w:rsidR="002D6DAD" w:rsidRDefault="002D6DAD" w:rsidP="00BE0A93">
      <w:pPr>
        <w:pStyle w:val="BodyText"/>
        <w:autoSpaceDE w:val="0"/>
        <w:autoSpaceDN w:val="0"/>
        <w:adjustRightInd w:val="0"/>
        <w:spacing w:before="100" w:after="100"/>
      </w:pPr>
      <w:r>
        <w:t>That said</w:t>
      </w:r>
      <w:proofErr w:type="gramStart"/>
      <w:r>
        <w:t>,</w:t>
      </w:r>
      <w:proofErr w:type="gramEnd"/>
      <w:r>
        <w:t xml:space="preserve"> if the individuals to whom the information is being disclosed are affiliates of the custodians, then the information could be seen to be “used” by those affiliates for appropriate purposes.  However, the relationship that creates the custodian/affiliate relationship should be properly documented with either a Service Agreement or other documentation, and should establish the parameters of use.</w:t>
      </w:r>
    </w:p>
    <w:p w:rsidR="00811315" w:rsidRDefault="005437D3" w:rsidP="00BE0A93">
      <w:pPr>
        <w:pStyle w:val="BodyText"/>
        <w:autoSpaceDE w:val="0"/>
        <w:autoSpaceDN w:val="0"/>
        <w:adjustRightInd w:val="0"/>
        <w:spacing w:before="100" w:after="100"/>
      </w:pPr>
      <w:r>
        <w:t xml:space="preserve">It may be useful, at this point, to briefly discuss the use of Disclosure Agreements.  Historically these documents have been created and relied upon ostensibly to satisfy the requirements of the </w:t>
      </w:r>
      <w:r w:rsidRPr="000F0506">
        <w:rPr>
          <w:i/>
        </w:rPr>
        <w:t>HIA</w:t>
      </w:r>
      <w:r>
        <w:t xml:space="preserve"> by identifying the purpose of disclosures and any restrictions.  The reality is that Disclosure Agreements are not required under the </w:t>
      </w:r>
      <w:r w:rsidRPr="000F0506">
        <w:rPr>
          <w:i/>
        </w:rPr>
        <w:t>HIA</w:t>
      </w:r>
      <w:r>
        <w:t>.</w:t>
      </w:r>
      <w:r w:rsidR="005F0FC3">
        <w:t xml:space="preserve">  Disclosures are permitted under the </w:t>
      </w:r>
      <w:r w:rsidR="005F0FC3" w:rsidRPr="000F0506">
        <w:rPr>
          <w:i/>
        </w:rPr>
        <w:t>HIA</w:t>
      </w:r>
      <w:r w:rsidR="005F0FC3">
        <w:t xml:space="preserve"> in certain identifiable situations without the need for a written agreement.  In fact, in many situations it is impractical if not impossible to put an agreement in place regarding disclosure.</w:t>
      </w:r>
      <w:r w:rsidR="00ED64DB">
        <w:t xml:space="preserve">  In other situations</w:t>
      </w:r>
      <w:r w:rsidR="00FC7E22">
        <w:t xml:space="preserve">, </w:t>
      </w:r>
      <w:r w:rsidR="00ED64DB">
        <w:t xml:space="preserve">such as use of </w:t>
      </w:r>
      <w:r w:rsidR="00FF4B70">
        <w:t>h</w:t>
      </w:r>
      <w:r w:rsidR="00ED64DB">
        <w:t xml:space="preserve">ealth </w:t>
      </w:r>
      <w:r w:rsidR="00FF4B70">
        <w:t>i</w:t>
      </w:r>
      <w:r w:rsidR="00ED64DB">
        <w:t>nformation for research purposes</w:t>
      </w:r>
      <w:r w:rsidR="00FC7E22">
        <w:t xml:space="preserve">, </w:t>
      </w:r>
      <w:r w:rsidR="00ED64DB">
        <w:t xml:space="preserve">the disclosure is captured in a Research Agreement mandated by the Ethics Committee.  It is our view that the continued use of Disclosure Agreements is </w:t>
      </w:r>
      <w:r w:rsidR="00ED64DB">
        <w:lastRenderedPageBreak/>
        <w:t>unnecessary and confusing and the focus instead should be on Information Management and Information Sharing Agreements.</w:t>
      </w:r>
      <w:r w:rsidR="00811315">
        <w:t xml:space="preserve">  </w:t>
      </w:r>
    </w:p>
    <w:p w:rsidR="00BE0A93" w:rsidRDefault="00ED64DB" w:rsidP="00BE0A93">
      <w:pPr>
        <w:pStyle w:val="BodyText"/>
        <w:autoSpaceDE w:val="0"/>
        <w:autoSpaceDN w:val="0"/>
        <w:adjustRightInd w:val="0"/>
        <w:spacing w:before="100" w:after="100"/>
      </w:pPr>
      <w:r>
        <w:t>It should also be noted that t</w:t>
      </w:r>
      <w:r w:rsidR="00BE0A93">
        <w:t xml:space="preserve">here is a proviso that a custodian may disclose health information to the Minister of Health (or delegate) if the disclosure is necessary or desirable (in the opinion of the custodian) to enable the Minister to carry out his or her duties.  And, </w:t>
      </w:r>
      <w:r w:rsidR="00473A9D">
        <w:t xml:space="preserve">section </w:t>
      </w:r>
      <w:r w:rsidR="00BE0A93">
        <w:t>46(1) allows the Minister to request disclosure for health system management purposes.</w:t>
      </w:r>
    </w:p>
    <w:p w:rsidR="00A34B98" w:rsidRDefault="00BE0A93" w:rsidP="00A9340B">
      <w:pPr>
        <w:pStyle w:val="BodyText"/>
        <w:autoSpaceDE w:val="0"/>
        <w:autoSpaceDN w:val="0"/>
        <w:adjustRightInd w:val="0"/>
        <w:spacing w:before="100" w:after="100"/>
      </w:pPr>
      <w:r>
        <w:t xml:space="preserve">Finally, </w:t>
      </w:r>
      <w:r w:rsidR="00473A9D">
        <w:t xml:space="preserve">section </w:t>
      </w:r>
      <w:r>
        <w:t xml:space="preserve">47(1) of the </w:t>
      </w:r>
      <w:r w:rsidRPr="00225482">
        <w:rPr>
          <w:i/>
        </w:rPr>
        <w:t>HIA</w:t>
      </w:r>
      <w:r>
        <w:t xml:space="preserve"> allows AHS to request </w:t>
      </w:r>
      <w:r w:rsidR="00C57BA3">
        <w:t>disclosure of health information from a custodian where the information relates to a health service that is fully or partially paid for by AHS, or that has been provided using AHS’ financial, physical</w:t>
      </w:r>
      <w:r w:rsidR="00473A9D">
        <w:t>,</w:t>
      </w:r>
      <w:r w:rsidR="00C57BA3">
        <w:t xml:space="preserve"> or human resources.  </w:t>
      </w:r>
    </w:p>
    <w:p w:rsidR="00FE6D5D" w:rsidRDefault="00473A9D" w:rsidP="00A9340B">
      <w:pPr>
        <w:pStyle w:val="BodyText"/>
        <w:autoSpaceDE w:val="0"/>
        <w:autoSpaceDN w:val="0"/>
        <w:adjustRightInd w:val="0"/>
        <w:spacing w:before="100" w:after="100"/>
      </w:pPr>
      <w:r>
        <w:t>W</w:t>
      </w:r>
      <w:r w:rsidR="00C57BA3">
        <w:t xml:space="preserve">hile it may be possible (and sometimes required) to disclose identifying patient information to AHS or the Minister, </w:t>
      </w:r>
      <w:r w:rsidR="00581704">
        <w:t xml:space="preserve">or to another custodian, for internal management purposes, </w:t>
      </w:r>
      <w:r w:rsidR="00C57BA3">
        <w:t xml:space="preserve">the disclosure of this information to </w:t>
      </w:r>
      <w:r w:rsidR="00C57BA3" w:rsidRPr="00581704">
        <w:rPr>
          <w:u w:val="single"/>
        </w:rPr>
        <w:t>non-custodial third-parties</w:t>
      </w:r>
      <w:r w:rsidR="00C57BA3">
        <w:t xml:space="preserve"> for the purpose of analyzing PCN activities or quality control is not specifically authorized under the </w:t>
      </w:r>
      <w:r w:rsidR="00C57BA3" w:rsidRPr="00225482">
        <w:rPr>
          <w:i/>
        </w:rPr>
        <w:t>HIA</w:t>
      </w:r>
      <w:r w:rsidR="00C57BA3">
        <w:t>.</w:t>
      </w:r>
    </w:p>
    <w:p w:rsidR="00FE6D5D" w:rsidRPr="001F7DD2" w:rsidRDefault="00BB5BEE" w:rsidP="00FF4B70">
      <w:pPr>
        <w:spacing w:before="240" w:after="120"/>
        <w:rPr>
          <w:b/>
        </w:rPr>
      </w:pPr>
      <w:r w:rsidRPr="001F7DD2">
        <w:rPr>
          <w:b/>
        </w:rPr>
        <w:t>VII.</w:t>
      </w:r>
      <w:r w:rsidRPr="001F7DD2">
        <w:rPr>
          <w:b/>
        </w:rPr>
        <w:tab/>
      </w:r>
      <w:r w:rsidR="00FE6D5D" w:rsidRPr="001F7DD2">
        <w:rPr>
          <w:b/>
        </w:rPr>
        <w:t>Guiding Examples</w:t>
      </w:r>
    </w:p>
    <w:p w:rsidR="00FE6D5D" w:rsidRDefault="00FE6D5D" w:rsidP="00FE6D5D">
      <w:pPr>
        <w:pStyle w:val="BodyText"/>
      </w:pPr>
      <w:r w:rsidRPr="002D53EF">
        <w:t xml:space="preserve">To assist </w:t>
      </w:r>
      <w:r w:rsidR="004F688F">
        <w:t>c</w:t>
      </w:r>
      <w:r w:rsidRPr="002D53EF">
        <w:t xml:space="preserve">ustodians in determining when they will require certain agreements, the following list </w:t>
      </w:r>
      <w:r>
        <w:t>is</w:t>
      </w:r>
      <w:r w:rsidRPr="002D53EF">
        <w:t xml:space="preserve"> instructive</w:t>
      </w:r>
      <w:r>
        <w:t xml:space="preserve">, but not exhaustive, of potential </w:t>
      </w:r>
      <w:proofErr w:type="gramStart"/>
      <w:r>
        <w:t xml:space="preserve">circumstances  </w:t>
      </w:r>
      <w:r w:rsidR="004F688F">
        <w:t>c</w:t>
      </w:r>
      <w:r>
        <w:t>ustodian</w:t>
      </w:r>
      <w:r w:rsidR="004F688F">
        <w:t>s</w:t>
      </w:r>
      <w:proofErr w:type="gramEnd"/>
      <w:r>
        <w:t xml:space="preserve"> may find themselves in</w:t>
      </w:r>
      <w:r w:rsidRPr="002D53EF">
        <w:t>:</w:t>
      </w:r>
    </w:p>
    <w:p w:rsidR="00FE6D5D" w:rsidRPr="002D53EF" w:rsidRDefault="00FE6D5D" w:rsidP="00FE6D5D">
      <w:pPr>
        <w:pStyle w:val="BodyText"/>
        <w:numPr>
          <w:ilvl w:val="0"/>
          <w:numId w:val="29"/>
        </w:numPr>
        <w:rPr>
          <w:b/>
        </w:rPr>
      </w:pPr>
      <w:r w:rsidRPr="002D53EF">
        <w:rPr>
          <w:b/>
        </w:rPr>
        <w:t>Information Management Agreement</w:t>
      </w:r>
    </w:p>
    <w:p w:rsidR="00FE6D5D" w:rsidRDefault="00B11039" w:rsidP="00FE6D5D">
      <w:pPr>
        <w:pStyle w:val="BodyText"/>
        <w:numPr>
          <w:ilvl w:val="1"/>
          <w:numId w:val="29"/>
        </w:numPr>
      </w:pPr>
      <w:r>
        <w:t xml:space="preserve">PCNs or member clinics are using </w:t>
      </w:r>
      <w:r w:rsidR="00FE6D5D">
        <w:t>a billing agent or external transcription service;</w:t>
      </w:r>
    </w:p>
    <w:p w:rsidR="00FE6D5D" w:rsidRDefault="00B11039" w:rsidP="00FE6D5D">
      <w:pPr>
        <w:pStyle w:val="BodyText"/>
        <w:numPr>
          <w:ilvl w:val="1"/>
          <w:numId w:val="29"/>
        </w:numPr>
      </w:pPr>
      <w:r>
        <w:t xml:space="preserve">PCNs or member clinics are using </w:t>
      </w:r>
      <w:r w:rsidR="00FE6D5D">
        <w:t>a storage firm for electronic or paper records;</w:t>
      </w:r>
    </w:p>
    <w:p w:rsidR="00B11039" w:rsidRDefault="00B11039" w:rsidP="00FE6D5D">
      <w:pPr>
        <w:pStyle w:val="BodyText"/>
        <w:numPr>
          <w:ilvl w:val="1"/>
          <w:numId w:val="29"/>
        </w:numPr>
      </w:pPr>
      <w:r>
        <w:t>Improvement facilitators or other external consultants are being given access to the EMR data</w:t>
      </w:r>
    </w:p>
    <w:p w:rsidR="00B11039" w:rsidRDefault="00B11039" w:rsidP="00FE6D5D">
      <w:pPr>
        <w:pStyle w:val="BodyText"/>
        <w:numPr>
          <w:ilvl w:val="1"/>
          <w:numId w:val="29"/>
        </w:numPr>
      </w:pPr>
      <w:r>
        <w:t>PCN staff are sharing EMR data with AHS and receiving altered data in return;</w:t>
      </w:r>
    </w:p>
    <w:p w:rsidR="00FE6D5D" w:rsidRDefault="00B11039" w:rsidP="00FE6D5D">
      <w:pPr>
        <w:pStyle w:val="BodyText"/>
        <w:numPr>
          <w:ilvl w:val="1"/>
          <w:numId w:val="29"/>
        </w:numPr>
      </w:pPr>
      <w:r>
        <w:t>PCNs or member clinics are using</w:t>
      </w:r>
      <w:r w:rsidR="00FE6D5D">
        <w:t xml:space="preserve"> an application service provider or remote data storage;</w:t>
      </w:r>
    </w:p>
    <w:p w:rsidR="00FE6D5D" w:rsidRDefault="00FE6D5D" w:rsidP="00FE6D5D">
      <w:pPr>
        <w:pStyle w:val="BodyText"/>
        <w:numPr>
          <w:ilvl w:val="1"/>
          <w:numId w:val="29"/>
        </w:numPr>
      </w:pPr>
      <w:r>
        <w:t xml:space="preserve">Data is processed, stored, retrieved, or disposed of by a party other than the </w:t>
      </w:r>
      <w:r w:rsidR="004F688F">
        <w:t>c</w:t>
      </w:r>
      <w:r>
        <w:t>ustodian</w:t>
      </w:r>
      <w:r w:rsidR="00B11039">
        <w:t>, including non-clinical PCN staff</w:t>
      </w:r>
      <w:r>
        <w:t>;</w:t>
      </w:r>
    </w:p>
    <w:p w:rsidR="00FE6D5D" w:rsidRDefault="00FE6D5D" w:rsidP="00FE6D5D">
      <w:pPr>
        <w:pStyle w:val="BodyText"/>
        <w:numPr>
          <w:ilvl w:val="1"/>
          <w:numId w:val="29"/>
        </w:numPr>
      </w:pPr>
      <w:r>
        <w:t xml:space="preserve">Data is stripped, encoded, or transformed by a party other than the </w:t>
      </w:r>
      <w:r w:rsidR="004F688F">
        <w:t>c</w:t>
      </w:r>
      <w:r>
        <w:t>ustodian</w:t>
      </w:r>
      <w:r w:rsidR="00B11039">
        <w:t>, including non-clinical PCN staff</w:t>
      </w:r>
      <w:r>
        <w:t>; or</w:t>
      </w:r>
    </w:p>
    <w:p w:rsidR="00FE6D5D" w:rsidRDefault="00FE6D5D" w:rsidP="00FE6D5D">
      <w:pPr>
        <w:pStyle w:val="BodyText"/>
        <w:numPr>
          <w:ilvl w:val="1"/>
          <w:numId w:val="29"/>
        </w:numPr>
      </w:pPr>
      <w:r>
        <w:t xml:space="preserve">A party other than the </w:t>
      </w:r>
      <w:r w:rsidR="004F688F">
        <w:t>c</w:t>
      </w:r>
      <w:r>
        <w:t>ustodian provides information technology services.</w:t>
      </w:r>
    </w:p>
    <w:p w:rsidR="00FE6D5D" w:rsidRPr="002D53EF" w:rsidRDefault="00FE6D5D" w:rsidP="00FE6D5D">
      <w:pPr>
        <w:pStyle w:val="BodyText"/>
        <w:numPr>
          <w:ilvl w:val="0"/>
          <w:numId w:val="29"/>
        </w:numPr>
        <w:rPr>
          <w:b/>
        </w:rPr>
      </w:pPr>
      <w:r w:rsidRPr="002D53EF">
        <w:rPr>
          <w:b/>
        </w:rPr>
        <w:t>Information Sharing Agreement</w:t>
      </w:r>
    </w:p>
    <w:p w:rsidR="00780351" w:rsidRDefault="00780351" w:rsidP="00FE6D5D">
      <w:pPr>
        <w:pStyle w:val="BodyText"/>
        <w:numPr>
          <w:ilvl w:val="1"/>
          <w:numId w:val="29"/>
        </w:numPr>
      </w:pPr>
      <w:r>
        <w:t xml:space="preserve">Identifiable </w:t>
      </w:r>
      <w:r w:rsidR="004F688F">
        <w:t>H</w:t>
      </w:r>
      <w:r>
        <w:t xml:space="preserve">ealth </w:t>
      </w:r>
      <w:r w:rsidR="004F688F">
        <w:t>I</w:t>
      </w:r>
      <w:r>
        <w:t>nformation is stored in an</w:t>
      </w:r>
      <w:r w:rsidR="00FC7E22">
        <w:t xml:space="preserve"> electronic record and accessed, used or disclosed </w:t>
      </w:r>
      <w:r>
        <w:t>by more than one custodian</w:t>
      </w:r>
      <w:r w:rsidR="00FC7E22">
        <w:t>;</w:t>
      </w:r>
    </w:p>
    <w:p w:rsidR="00FE6D5D" w:rsidRDefault="00FE6D5D" w:rsidP="00FE6D5D">
      <w:pPr>
        <w:pStyle w:val="BodyText"/>
        <w:numPr>
          <w:ilvl w:val="1"/>
          <w:numId w:val="29"/>
        </w:numPr>
      </w:pPr>
      <w:r>
        <w:lastRenderedPageBreak/>
        <w:t xml:space="preserve">Identifiable </w:t>
      </w:r>
      <w:r w:rsidR="004F688F">
        <w:t>H</w:t>
      </w:r>
      <w:r>
        <w:t xml:space="preserve">ealth </w:t>
      </w:r>
      <w:r w:rsidR="004F688F">
        <w:t>I</w:t>
      </w:r>
      <w:r>
        <w:t>nformation is shared between PCN clinic sites;</w:t>
      </w:r>
    </w:p>
    <w:p w:rsidR="00FE6D5D" w:rsidRDefault="00FE6D5D" w:rsidP="00FE6D5D">
      <w:pPr>
        <w:pStyle w:val="BodyText"/>
        <w:numPr>
          <w:ilvl w:val="1"/>
          <w:numId w:val="29"/>
        </w:numPr>
      </w:pPr>
      <w:r>
        <w:t xml:space="preserve">Identifiable </w:t>
      </w:r>
      <w:r w:rsidR="004F688F">
        <w:t>H</w:t>
      </w:r>
      <w:r>
        <w:t xml:space="preserve">ealth </w:t>
      </w:r>
      <w:r w:rsidR="004F688F">
        <w:t>I</w:t>
      </w:r>
      <w:r>
        <w:t xml:space="preserve">nformation is shared within the PCN for the purpose of patient care; </w:t>
      </w:r>
    </w:p>
    <w:p w:rsidR="00FE6D5D" w:rsidRDefault="00FE6D5D" w:rsidP="00FE6D5D">
      <w:pPr>
        <w:pStyle w:val="BodyText"/>
        <w:numPr>
          <w:ilvl w:val="1"/>
          <w:numId w:val="29"/>
        </w:numPr>
      </w:pPr>
      <w:r>
        <w:t xml:space="preserve">Identifiable </w:t>
      </w:r>
      <w:r w:rsidR="004F688F">
        <w:t>H</w:t>
      </w:r>
      <w:r>
        <w:t xml:space="preserve">ealth </w:t>
      </w:r>
      <w:r w:rsidR="004F688F">
        <w:t>I</w:t>
      </w:r>
      <w:r>
        <w:t>nformation is shared externally for the purpose of patient care</w:t>
      </w:r>
      <w:r w:rsidR="00FF4B70">
        <w:t>; or</w:t>
      </w:r>
    </w:p>
    <w:p w:rsidR="00FE6D5D" w:rsidRPr="00AB2529" w:rsidRDefault="004F688F" w:rsidP="00FF4B70">
      <w:pPr>
        <w:pStyle w:val="BodyText"/>
        <w:numPr>
          <w:ilvl w:val="1"/>
          <w:numId w:val="29"/>
        </w:numPr>
      </w:pPr>
      <w:r>
        <w:t>Identifiable Health Information is disclosed to external third party custodians, such as Alberta Health Services or the Health Quality Council of Alberta.</w:t>
      </w:r>
    </w:p>
    <w:p w:rsidR="00960AAF" w:rsidRDefault="00960AAF" w:rsidP="00D1547C">
      <w:pPr>
        <w:pStyle w:val="BodyText"/>
        <w:rPr>
          <w:b/>
        </w:rPr>
      </w:pPr>
    </w:p>
    <w:p w:rsidR="002932C9" w:rsidRPr="001F7DD2" w:rsidRDefault="00BB5BEE" w:rsidP="00D1547C">
      <w:pPr>
        <w:pStyle w:val="BodyText"/>
        <w:rPr>
          <w:b/>
        </w:rPr>
      </w:pPr>
      <w:r w:rsidRPr="001F7DD2">
        <w:rPr>
          <w:b/>
        </w:rPr>
        <w:t>VIII.</w:t>
      </w:r>
      <w:r w:rsidRPr="001F7DD2">
        <w:rPr>
          <w:b/>
        </w:rPr>
        <w:tab/>
      </w:r>
      <w:r w:rsidR="002932C9" w:rsidRPr="001F7DD2">
        <w:rPr>
          <w:b/>
        </w:rPr>
        <w:t>Recommendations</w:t>
      </w:r>
    </w:p>
    <w:p w:rsidR="002932C9" w:rsidRDefault="00A9340B" w:rsidP="00792B26">
      <w:pPr>
        <w:pStyle w:val="BodyText"/>
        <w:numPr>
          <w:ilvl w:val="0"/>
          <w:numId w:val="27"/>
        </w:numPr>
        <w:rPr>
          <w:szCs w:val="22"/>
          <w:lang w:val="en-CA" w:eastAsia="en-CA"/>
        </w:rPr>
      </w:pPr>
      <w:r>
        <w:rPr>
          <w:szCs w:val="22"/>
          <w:lang w:val="en-CA" w:eastAsia="en-CA"/>
        </w:rPr>
        <w:t xml:space="preserve">Existing agreements between PCNs and Vendors, individual custodians and </w:t>
      </w:r>
      <w:r w:rsidR="00FF4B70">
        <w:rPr>
          <w:szCs w:val="22"/>
          <w:lang w:val="en-CA" w:eastAsia="en-CA"/>
        </w:rPr>
        <w:t>Vendors</w:t>
      </w:r>
      <w:r>
        <w:rPr>
          <w:szCs w:val="22"/>
          <w:lang w:val="en-CA" w:eastAsia="en-CA"/>
        </w:rPr>
        <w:t>, and PCN staff and PCNs/clinics should be analyzed to determine if some or all of these requirements are being addressed, and if not, amendments</w:t>
      </w:r>
      <w:r w:rsidR="00581704">
        <w:rPr>
          <w:szCs w:val="22"/>
          <w:lang w:val="en-CA" w:eastAsia="en-CA"/>
        </w:rPr>
        <w:t xml:space="preserve"> to those agreements should be undertaken.</w:t>
      </w:r>
    </w:p>
    <w:p w:rsidR="00581704" w:rsidRDefault="00581704" w:rsidP="00D1547C">
      <w:pPr>
        <w:pStyle w:val="BodyText"/>
        <w:numPr>
          <w:ilvl w:val="0"/>
          <w:numId w:val="27"/>
        </w:numPr>
        <w:rPr>
          <w:szCs w:val="22"/>
          <w:lang w:val="en-CA" w:eastAsia="en-CA"/>
        </w:rPr>
      </w:pPr>
      <w:r w:rsidRPr="00792B26">
        <w:rPr>
          <w:szCs w:val="22"/>
          <w:lang w:val="en-CA" w:eastAsia="en-CA"/>
        </w:rPr>
        <w:t xml:space="preserve">Where custodians are relying on Vendors, or PCN staff to provide information management services, and there are no existing agreements covering those services, then agreements should be put in place that meet the requirements of the </w:t>
      </w:r>
      <w:r w:rsidRPr="00FD6DEA">
        <w:rPr>
          <w:i/>
          <w:szCs w:val="22"/>
          <w:lang w:val="en-CA" w:eastAsia="en-CA"/>
        </w:rPr>
        <w:t>HIA</w:t>
      </w:r>
      <w:r w:rsidRPr="00792B26">
        <w:rPr>
          <w:szCs w:val="22"/>
          <w:lang w:val="en-CA" w:eastAsia="en-CA"/>
        </w:rPr>
        <w:t>.</w:t>
      </w:r>
    </w:p>
    <w:p w:rsidR="00FE6D5D" w:rsidRDefault="00FE6D5D" w:rsidP="00D1547C">
      <w:pPr>
        <w:pStyle w:val="BodyText"/>
        <w:numPr>
          <w:ilvl w:val="0"/>
          <w:numId w:val="27"/>
        </w:numPr>
        <w:rPr>
          <w:szCs w:val="22"/>
          <w:lang w:val="en-CA" w:eastAsia="en-CA"/>
        </w:rPr>
      </w:pPr>
      <w:r>
        <w:rPr>
          <w:lang w:val="en-CA" w:eastAsia="en-CA"/>
        </w:rPr>
        <w:t xml:space="preserve">Where </w:t>
      </w:r>
      <w:r w:rsidR="004F688F">
        <w:rPr>
          <w:lang w:val="en-CA" w:eastAsia="en-CA"/>
        </w:rPr>
        <w:t>c</w:t>
      </w:r>
      <w:r>
        <w:rPr>
          <w:lang w:val="en-CA" w:eastAsia="en-CA"/>
        </w:rPr>
        <w:t xml:space="preserve">ustodians are obtaining information management services from other sources, Information Management Agreements should be entered into between those </w:t>
      </w:r>
      <w:r w:rsidR="004F688F">
        <w:rPr>
          <w:lang w:val="en-CA" w:eastAsia="en-CA"/>
        </w:rPr>
        <w:t>c</w:t>
      </w:r>
      <w:r>
        <w:rPr>
          <w:lang w:val="en-CA" w:eastAsia="en-CA"/>
        </w:rPr>
        <w:t>ustodians and the Information Manager.</w:t>
      </w:r>
    </w:p>
    <w:p w:rsidR="00581704" w:rsidRDefault="00581704" w:rsidP="00D1547C">
      <w:pPr>
        <w:pStyle w:val="BodyText"/>
        <w:numPr>
          <w:ilvl w:val="0"/>
          <w:numId w:val="27"/>
        </w:numPr>
        <w:rPr>
          <w:szCs w:val="22"/>
          <w:lang w:val="en-CA" w:eastAsia="en-CA"/>
        </w:rPr>
      </w:pPr>
      <w:r w:rsidRPr="00792B26">
        <w:rPr>
          <w:szCs w:val="22"/>
          <w:lang w:val="en-CA" w:eastAsia="en-CA"/>
        </w:rPr>
        <w:t xml:space="preserve">Where physician custodians are sharing </w:t>
      </w:r>
      <w:r w:rsidR="00FC7E22">
        <w:rPr>
          <w:szCs w:val="22"/>
          <w:lang w:val="en-CA" w:eastAsia="en-CA"/>
        </w:rPr>
        <w:t xml:space="preserve">identifiable </w:t>
      </w:r>
      <w:r w:rsidRPr="00792B26">
        <w:rPr>
          <w:szCs w:val="22"/>
          <w:lang w:val="en-CA" w:eastAsia="en-CA"/>
        </w:rPr>
        <w:t>information amongst themselves</w:t>
      </w:r>
      <w:r w:rsidR="00FC7E22">
        <w:rPr>
          <w:szCs w:val="22"/>
          <w:lang w:val="en-CA" w:eastAsia="en-CA"/>
        </w:rPr>
        <w:t xml:space="preserve"> in an </w:t>
      </w:r>
      <w:r w:rsidR="004F688F">
        <w:rPr>
          <w:szCs w:val="22"/>
          <w:lang w:val="en-CA" w:eastAsia="en-CA"/>
        </w:rPr>
        <w:t>EMR</w:t>
      </w:r>
      <w:r w:rsidR="00FC7E22">
        <w:rPr>
          <w:szCs w:val="22"/>
          <w:lang w:val="en-CA" w:eastAsia="en-CA"/>
        </w:rPr>
        <w:t>,</w:t>
      </w:r>
      <w:r w:rsidRPr="00792B26">
        <w:rPr>
          <w:szCs w:val="22"/>
          <w:lang w:val="en-CA" w:eastAsia="en-CA"/>
        </w:rPr>
        <w:t xml:space="preserve"> </w:t>
      </w:r>
      <w:r w:rsidR="00FC7E22">
        <w:rPr>
          <w:szCs w:val="22"/>
          <w:lang w:val="en-CA" w:eastAsia="en-CA"/>
        </w:rPr>
        <w:t>I</w:t>
      </w:r>
      <w:r w:rsidRPr="00792B26">
        <w:rPr>
          <w:szCs w:val="22"/>
          <w:lang w:val="en-CA" w:eastAsia="en-CA"/>
        </w:rPr>
        <w:t xml:space="preserve">nformation </w:t>
      </w:r>
      <w:r w:rsidR="00FC7E22">
        <w:rPr>
          <w:szCs w:val="22"/>
          <w:lang w:val="en-CA" w:eastAsia="en-CA"/>
        </w:rPr>
        <w:t>S</w:t>
      </w:r>
      <w:r w:rsidRPr="00792B26">
        <w:rPr>
          <w:szCs w:val="22"/>
          <w:lang w:val="en-CA" w:eastAsia="en-CA"/>
        </w:rPr>
        <w:t xml:space="preserve">haring </w:t>
      </w:r>
      <w:r w:rsidR="00FC7E22">
        <w:rPr>
          <w:szCs w:val="22"/>
          <w:lang w:val="en-CA" w:eastAsia="en-CA"/>
        </w:rPr>
        <w:t>A</w:t>
      </w:r>
      <w:r w:rsidRPr="00792B26">
        <w:rPr>
          <w:szCs w:val="22"/>
          <w:lang w:val="en-CA" w:eastAsia="en-CA"/>
        </w:rPr>
        <w:t xml:space="preserve">greements should be put in place to accord with article </w:t>
      </w:r>
      <w:r w:rsidR="00960AAF">
        <w:rPr>
          <w:szCs w:val="22"/>
          <w:lang w:val="en-CA" w:eastAsia="en-CA"/>
        </w:rPr>
        <w:t>(3) o</w:t>
      </w:r>
      <w:r w:rsidRPr="00792B26">
        <w:rPr>
          <w:szCs w:val="22"/>
          <w:lang w:val="en-CA" w:eastAsia="en-CA"/>
        </w:rPr>
        <w:t>f the CPSA Standard of Practice</w:t>
      </w:r>
      <w:r w:rsidR="00960AAF">
        <w:rPr>
          <w:szCs w:val="22"/>
          <w:lang w:val="en-CA" w:eastAsia="en-CA"/>
        </w:rPr>
        <w:t xml:space="preserve"> regarding Patient Record Retention</w:t>
      </w:r>
      <w:r w:rsidRPr="00792B26">
        <w:rPr>
          <w:szCs w:val="22"/>
          <w:lang w:val="en-CA" w:eastAsia="en-CA"/>
        </w:rPr>
        <w:t>.</w:t>
      </w:r>
    </w:p>
    <w:p w:rsidR="00660227" w:rsidRDefault="00FC7E22" w:rsidP="00D1547C">
      <w:pPr>
        <w:pStyle w:val="BodyText"/>
        <w:numPr>
          <w:ilvl w:val="0"/>
          <w:numId w:val="27"/>
        </w:numPr>
        <w:rPr>
          <w:szCs w:val="22"/>
          <w:lang w:val="en-CA" w:eastAsia="en-CA"/>
        </w:rPr>
      </w:pPr>
      <w:r>
        <w:rPr>
          <w:szCs w:val="22"/>
          <w:lang w:val="en-CA" w:eastAsia="en-CA"/>
        </w:rPr>
        <w:t xml:space="preserve">Emphasis should be placed on implementing Information Management and Information Sharing Agreements, and in educating custodians regarding the approved uses and disclosure of </w:t>
      </w:r>
      <w:r w:rsidR="00FF4B70">
        <w:rPr>
          <w:szCs w:val="22"/>
          <w:lang w:val="en-CA" w:eastAsia="en-CA"/>
        </w:rPr>
        <w:t>h</w:t>
      </w:r>
      <w:r>
        <w:rPr>
          <w:szCs w:val="22"/>
          <w:lang w:val="en-CA" w:eastAsia="en-CA"/>
        </w:rPr>
        <w:t xml:space="preserve">ealth </w:t>
      </w:r>
      <w:r w:rsidR="00FF4B70">
        <w:rPr>
          <w:szCs w:val="22"/>
          <w:lang w:val="en-CA" w:eastAsia="en-CA"/>
        </w:rPr>
        <w:t>i</w:t>
      </w:r>
      <w:r>
        <w:rPr>
          <w:szCs w:val="22"/>
          <w:lang w:val="en-CA" w:eastAsia="en-CA"/>
        </w:rPr>
        <w:t>nformation, rather than relying on Disclosure Agreements.</w:t>
      </w:r>
    </w:p>
    <w:p w:rsidR="00581704" w:rsidRPr="00792B26" w:rsidRDefault="00581704" w:rsidP="00D1547C">
      <w:pPr>
        <w:pStyle w:val="BodyText"/>
        <w:numPr>
          <w:ilvl w:val="0"/>
          <w:numId w:val="27"/>
        </w:numPr>
        <w:rPr>
          <w:szCs w:val="22"/>
          <w:lang w:val="en-CA" w:eastAsia="en-CA"/>
        </w:rPr>
      </w:pPr>
      <w:r w:rsidRPr="00792B26">
        <w:rPr>
          <w:szCs w:val="22"/>
          <w:lang w:val="en-CA" w:eastAsia="en-CA"/>
        </w:rPr>
        <w:t xml:space="preserve">The disclosure of individually identifying health information by custodians to non-custodial third parties </w:t>
      </w:r>
      <w:r w:rsidR="00792B26">
        <w:rPr>
          <w:szCs w:val="22"/>
          <w:lang w:val="en-CA" w:eastAsia="en-CA"/>
        </w:rPr>
        <w:t xml:space="preserve">for the purposes of analyzing PCN business activities or quality control </w:t>
      </w:r>
      <w:r w:rsidRPr="00792B26">
        <w:rPr>
          <w:szCs w:val="22"/>
          <w:lang w:val="en-CA" w:eastAsia="en-CA"/>
        </w:rPr>
        <w:t xml:space="preserve">should cease, as it is not authorized under the </w:t>
      </w:r>
      <w:r w:rsidRPr="00FD6DEA">
        <w:rPr>
          <w:i/>
          <w:szCs w:val="22"/>
          <w:lang w:val="en-CA" w:eastAsia="en-CA"/>
        </w:rPr>
        <w:t>HIA</w:t>
      </w:r>
      <w:r w:rsidRPr="00792B26">
        <w:rPr>
          <w:szCs w:val="22"/>
          <w:lang w:val="en-CA" w:eastAsia="en-CA"/>
        </w:rPr>
        <w:t>.</w:t>
      </w:r>
      <w:r w:rsidR="002D6DAD">
        <w:rPr>
          <w:szCs w:val="22"/>
          <w:lang w:val="en-CA" w:eastAsia="en-CA"/>
        </w:rPr>
        <w:t xml:space="preserve">  Alternatively, if those non-custodial third parties are actually affiliates of the custodians using the health information on the specific directions of custodians, then service agreements or other documentation should be developed to clarify the custodian/affiliate relationship and to put necessary parameters on that use.</w:t>
      </w:r>
    </w:p>
    <w:p w:rsidR="00784D43" w:rsidRDefault="00784D43">
      <w:pPr>
        <w:rPr>
          <w:b/>
        </w:rPr>
      </w:pPr>
    </w:p>
    <w:sectPr w:rsidR="00784D43" w:rsidSect="007A1B4B">
      <w:headerReference w:type="even" r:id="rId10"/>
      <w:headerReference w:type="default" r:id="rId11"/>
      <w:footerReference w:type="even" r:id="rId12"/>
      <w:footerReference w:type="default" r:id="rId13"/>
      <w:headerReference w:type="first" r:id="rId14"/>
      <w:footerReference w:type="first" r:id="rId15"/>
      <w:pgSz w:w="12240" w:h="15840" w:code="1"/>
      <w:pgMar w:top="720" w:right="2016" w:bottom="432" w:left="2016" w:header="720" w:footer="86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A15" w:rsidRDefault="00D26A15">
      <w:r>
        <w:separator/>
      </w:r>
    </w:p>
  </w:endnote>
  <w:endnote w:type="continuationSeparator" w:id="0">
    <w:p w:rsidR="00D26A15" w:rsidRDefault="00D26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otype Sorts">
    <w:charset w:val="02"/>
    <w:family w:val="auto"/>
    <w:pitch w:val="variable"/>
    <w:sig w:usb0="00000000" w:usb1="10000000" w:usb2="00000000" w:usb3="00000000" w:csb0="80000000" w:csb1="00000000"/>
    <w:embedRegular r:id="rId1" w:fontKey="{8CA5B464-68B5-4E81-B646-AB01372D9A56}"/>
  </w:font>
  <w:font w:name="Wingdings 2">
    <w:panose1 w:val="05020102010507070707"/>
    <w:charset w:val="02"/>
    <w:family w:val="roman"/>
    <w:pitch w:val="variable"/>
    <w:sig w:usb0="00000000" w:usb1="10000000" w:usb2="00000000" w:usb3="00000000" w:csb0="80000000" w:csb1="00000000"/>
    <w:embedRegular r:id="rId2" w:fontKey="{DDBEE99E-52F4-4FF8-82C8-AE3D65A4CAC6}"/>
  </w:font>
  <w:font w:name="Tahoma">
    <w:panose1 w:val="020B0604030504040204"/>
    <w:charset w:val="00"/>
    <w:family w:val="swiss"/>
    <w:pitch w:val="variable"/>
    <w:sig w:usb0="E1002EFF" w:usb1="C000605B" w:usb2="00000029" w:usb3="00000000" w:csb0="000101FF" w:csb1="00000000"/>
    <w:embedRegular r:id="rId3" w:fontKey="{7D7599AB-E696-4759-BDBA-7A50DE9F02DD}"/>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embedBold r:id="rId4" w:fontKey="{6FD8E213-A45A-4144-901C-D2C7829A811A}"/>
  </w:font>
  <w:font w:name="Calibri">
    <w:panose1 w:val="020F0502020204030204"/>
    <w:charset w:val="00"/>
    <w:family w:val="swiss"/>
    <w:pitch w:val="variable"/>
    <w:sig w:usb0="E00002FF" w:usb1="4000ACFF" w:usb2="00000001" w:usb3="00000000" w:csb0="0000019F" w:csb1="00000000"/>
    <w:embedRegular r:id="rId5" w:fontKey="{65F85798-1968-460A-BA11-6102BBD246C4}"/>
    <w:embedBold r:id="rId6" w:fontKey="{53AB4D7D-E530-4FA6-A88E-881621164D09}"/>
  </w:font>
  <w:font w:name="Humanst521 BT">
    <w:altName w:val="Lucida Sans Unicode"/>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8BFBD860-5FD1-449F-A312-9762CABF1C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D43" w:rsidRDefault="00784D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E16" w:rsidRDefault="00B04E16">
    <w:pPr>
      <w:pStyle w:val="Footer"/>
      <w:pBdr>
        <w:top w:val="single" w:sz="4" w:space="1" w:color="auto"/>
      </w:pBdr>
      <w:spacing w:before="120"/>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E16" w:rsidRPr="00287E72" w:rsidRDefault="00B04E16" w:rsidP="00287E72">
    <w:pPr>
      <w:pStyle w:val="Footer"/>
      <w:pBdr>
        <w:top w:val="single" w:sz="4" w:space="1" w:color="auto"/>
      </w:pBdr>
      <w:spacing w:before="120"/>
      <w:rPr>
        <w:sz w:val="16"/>
      </w:rPr>
    </w:pPr>
    <w:r w:rsidRPr="00287E72">
      <w:rPr>
        <w:sz w:val="16"/>
      </w:rPr>
      <w:fldChar w:fldCharType="begin"/>
    </w:r>
    <w:r w:rsidRPr="00287E72">
      <w:rPr>
        <w:sz w:val="16"/>
      </w:rPr>
      <w:instrText xml:space="preserve"> FILENAME \p  \* MERGEFORMAT </w:instrText>
    </w:r>
    <w:r w:rsidRPr="00287E72">
      <w:rPr>
        <w:sz w:val="16"/>
      </w:rPr>
      <w:fldChar w:fldCharType="separate"/>
    </w:r>
    <w:r w:rsidR="005D74DE">
      <w:rPr>
        <w:noProof/>
        <w:sz w:val="16"/>
      </w:rPr>
      <w:t>H:\WDocs\131319\01219682.DOCX</w:t>
    </w:r>
    <w:r w:rsidRPr="00287E72">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A15" w:rsidRDefault="00D26A15">
      <w:r>
        <w:separator/>
      </w:r>
    </w:p>
  </w:footnote>
  <w:footnote w:type="continuationSeparator" w:id="0">
    <w:p w:rsidR="00D26A15" w:rsidRDefault="00D26A15">
      <w:r>
        <w:continuationSeparator/>
      </w:r>
    </w:p>
  </w:footnote>
  <w:footnote w:id="1">
    <w:p w:rsidR="00074897" w:rsidRPr="00074897" w:rsidRDefault="00074897">
      <w:pPr>
        <w:pStyle w:val="FootnoteText"/>
        <w:rPr>
          <w:lang w:val="en-CA"/>
        </w:rPr>
      </w:pPr>
      <w:r>
        <w:rPr>
          <w:rStyle w:val="FootnoteReference"/>
        </w:rPr>
        <w:footnoteRef/>
      </w:r>
      <w:r>
        <w:t xml:space="preserve"> </w:t>
      </w:r>
      <w:r>
        <w:rPr>
          <w:lang w:val="en-CA"/>
        </w:rPr>
        <w:t xml:space="preserve"> </w:t>
      </w:r>
      <w:r w:rsidRPr="00074897">
        <w:rPr>
          <w:sz w:val="16"/>
          <w:szCs w:val="16"/>
          <w:lang w:val="en-CA"/>
        </w:rPr>
        <w:t xml:space="preserve">As that term is defined in s. 1(1)(k) of the </w:t>
      </w:r>
      <w:r w:rsidRPr="00FD6DEA">
        <w:rPr>
          <w:i/>
          <w:sz w:val="16"/>
          <w:szCs w:val="16"/>
          <w:lang w:val="en-CA"/>
        </w:rPr>
        <w:t>HIA</w:t>
      </w:r>
    </w:p>
  </w:footnote>
  <w:footnote w:id="2">
    <w:p w:rsidR="002D6DAD" w:rsidRPr="00D91635" w:rsidRDefault="002D6DAD">
      <w:pPr>
        <w:pStyle w:val="FootnoteText"/>
        <w:rPr>
          <w:sz w:val="18"/>
          <w:szCs w:val="18"/>
          <w:lang w:val="en-CA"/>
        </w:rPr>
      </w:pPr>
      <w:r>
        <w:rPr>
          <w:rStyle w:val="FootnoteReference"/>
        </w:rPr>
        <w:footnoteRef/>
      </w:r>
      <w:r w:rsidRPr="00D91635">
        <w:rPr>
          <w:sz w:val="18"/>
          <w:szCs w:val="18"/>
        </w:rPr>
        <w:t xml:space="preserve"> </w:t>
      </w:r>
      <w:r w:rsidRPr="00D91635">
        <w:rPr>
          <w:sz w:val="18"/>
          <w:szCs w:val="18"/>
          <w:lang w:val="en-CA"/>
        </w:rPr>
        <w:t xml:space="preserve"> In this Memorandum, where appropriate the word “custodian” may be interpreted to include health professionals other than physicians who are identified as custodians either in the HIA or the Health Information Regulations</w:t>
      </w:r>
    </w:p>
  </w:footnote>
  <w:footnote w:id="3">
    <w:p w:rsidR="007C78CA" w:rsidRPr="001F7DD2" w:rsidRDefault="007C78CA">
      <w:pPr>
        <w:pStyle w:val="FootnoteText"/>
        <w:rPr>
          <w:sz w:val="16"/>
          <w:szCs w:val="16"/>
          <w:lang w:val="en-CA"/>
        </w:rPr>
      </w:pPr>
      <w:r w:rsidRPr="007C78CA">
        <w:rPr>
          <w:rStyle w:val="FootnoteReference"/>
          <w:szCs w:val="16"/>
        </w:rPr>
        <w:footnoteRef/>
      </w:r>
      <w:r w:rsidRPr="001F7DD2">
        <w:rPr>
          <w:sz w:val="16"/>
          <w:szCs w:val="16"/>
        </w:rPr>
        <w:t xml:space="preserve"> </w:t>
      </w:r>
      <w:r w:rsidRPr="001F7DD2">
        <w:rPr>
          <w:sz w:val="16"/>
          <w:szCs w:val="16"/>
          <w:lang w:val="en-CA"/>
        </w:rPr>
        <w:t xml:space="preserve"> As that term is defined in s. 1(1)(a) of the </w:t>
      </w:r>
      <w:r w:rsidRPr="001F7DD2">
        <w:rPr>
          <w:i/>
          <w:sz w:val="16"/>
          <w:szCs w:val="16"/>
          <w:lang w:val="en-CA"/>
        </w:rPr>
        <w:t>HIA</w:t>
      </w:r>
    </w:p>
  </w:footnote>
  <w:footnote w:id="4">
    <w:p w:rsidR="000338B3" w:rsidRPr="000338B3" w:rsidRDefault="000338B3" w:rsidP="000338B3">
      <w:pPr>
        <w:pStyle w:val="FootnoteText"/>
        <w:rPr>
          <w:lang w:val="en-CA"/>
        </w:rPr>
      </w:pPr>
      <w:r>
        <w:rPr>
          <w:rStyle w:val="FootnoteReference"/>
        </w:rPr>
        <w:footnoteRef/>
      </w:r>
      <w:r>
        <w:t xml:space="preserve"> </w:t>
      </w:r>
      <w:r>
        <w:rPr>
          <w:lang w:val="en-CA"/>
        </w:rPr>
        <w:t xml:space="preserve"> </w:t>
      </w:r>
      <w:r w:rsidRPr="000338B3">
        <w:rPr>
          <w:sz w:val="16"/>
          <w:szCs w:val="16"/>
          <w:lang w:val="en-CA"/>
        </w:rPr>
        <w:t xml:space="preserve">As that term is defined in s. 1(1)(u) of the </w:t>
      </w:r>
      <w:r w:rsidRPr="00FD6DEA">
        <w:rPr>
          <w:i/>
          <w:sz w:val="16"/>
          <w:szCs w:val="16"/>
          <w:lang w:val="en-CA"/>
        </w:rPr>
        <w:t>HIA</w:t>
      </w:r>
    </w:p>
  </w:footnote>
  <w:footnote w:id="5">
    <w:p w:rsidR="00217A5A" w:rsidRPr="005C39FB" w:rsidRDefault="00217A5A" w:rsidP="00217A5A">
      <w:pPr>
        <w:pStyle w:val="FootnoteText"/>
        <w:rPr>
          <w:lang w:val="en-CA"/>
        </w:rPr>
      </w:pPr>
      <w:r>
        <w:rPr>
          <w:rStyle w:val="FootnoteReference"/>
        </w:rPr>
        <w:footnoteRef/>
      </w:r>
      <w:r>
        <w:t xml:space="preserve"> </w:t>
      </w:r>
      <w:r>
        <w:rPr>
          <w:lang w:val="en-CA"/>
        </w:rPr>
        <w:t xml:space="preserve"> As that term is defined in the HIA, which includes (but is not limited to) physicians.</w:t>
      </w:r>
    </w:p>
  </w:footnote>
  <w:footnote w:id="6">
    <w:p w:rsidR="000338B3" w:rsidRPr="000338B3" w:rsidRDefault="000338B3">
      <w:pPr>
        <w:pStyle w:val="FootnoteText"/>
        <w:rPr>
          <w:lang w:val="en-CA"/>
        </w:rPr>
      </w:pPr>
      <w:r>
        <w:rPr>
          <w:rStyle w:val="FootnoteReference"/>
        </w:rPr>
        <w:footnoteRef/>
      </w:r>
      <w:r>
        <w:t xml:space="preserve"> </w:t>
      </w:r>
      <w:r>
        <w:rPr>
          <w:lang w:val="en-CA"/>
        </w:rPr>
        <w:t xml:space="preserve"> </w:t>
      </w:r>
      <w:r w:rsidRPr="00FD6DEA">
        <w:rPr>
          <w:i/>
          <w:sz w:val="16"/>
          <w:szCs w:val="16"/>
          <w:lang w:val="en-CA"/>
        </w:rPr>
        <w:t>HIA</w:t>
      </w:r>
      <w:r w:rsidRPr="000338B3">
        <w:rPr>
          <w:sz w:val="16"/>
          <w:szCs w:val="16"/>
          <w:lang w:val="en-CA"/>
        </w:rPr>
        <w:t>, s. 66(1)</w:t>
      </w:r>
    </w:p>
  </w:footnote>
  <w:footnote w:id="7">
    <w:p w:rsidR="00BE1222" w:rsidRPr="002D5023" w:rsidRDefault="00BE1222">
      <w:pPr>
        <w:pStyle w:val="FootnoteText"/>
        <w:rPr>
          <w:sz w:val="16"/>
          <w:szCs w:val="16"/>
          <w:lang w:val="en-CA"/>
        </w:rPr>
      </w:pPr>
      <w:r w:rsidRPr="002D5023">
        <w:rPr>
          <w:rStyle w:val="FootnoteReference"/>
          <w:szCs w:val="16"/>
        </w:rPr>
        <w:footnoteRef/>
      </w:r>
      <w:r w:rsidRPr="002D5023">
        <w:rPr>
          <w:sz w:val="16"/>
          <w:szCs w:val="16"/>
        </w:rPr>
        <w:t xml:space="preserve"> </w:t>
      </w:r>
      <w:r w:rsidRPr="002D5023">
        <w:rPr>
          <w:sz w:val="16"/>
          <w:szCs w:val="16"/>
          <w:lang w:val="en-CA"/>
        </w:rPr>
        <w:t xml:space="preserve"> </w:t>
      </w:r>
      <w:r w:rsidR="00960AAF">
        <w:rPr>
          <w:sz w:val="16"/>
          <w:szCs w:val="16"/>
          <w:lang w:val="en-CA"/>
        </w:rPr>
        <w:t>Approved by Council December 4, 2015, Effective January 2016</w:t>
      </w:r>
    </w:p>
  </w:footnote>
  <w:footnote w:id="8">
    <w:p w:rsidR="004F688F" w:rsidRPr="00811315" w:rsidRDefault="004F688F">
      <w:pPr>
        <w:pStyle w:val="FootnoteText"/>
        <w:rPr>
          <w:lang w:val="en-CA"/>
        </w:rPr>
      </w:pPr>
      <w:r>
        <w:rPr>
          <w:rStyle w:val="FootnoteReference"/>
        </w:rPr>
        <w:footnoteRef/>
      </w:r>
      <w:r>
        <w:t xml:space="preserve"> </w:t>
      </w:r>
      <w:r>
        <w:rPr>
          <w:lang w:val="en-CA"/>
        </w:rPr>
        <w:t xml:space="preserve"> </w:t>
      </w:r>
      <w:r w:rsidRPr="00811315">
        <w:rPr>
          <w:sz w:val="16"/>
          <w:szCs w:val="16"/>
          <w:lang w:val="en-CA"/>
        </w:rPr>
        <w:t>As that term is defined in the HIA</w:t>
      </w:r>
    </w:p>
  </w:footnote>
  <w:footnote w:id="9">
    <w:p w:rsidR="00FD6DEA" w:rsidRPr="00FD6DEA" w:rsidRDefault="00FD6DEA">
      <w:pPr>
        <w:pStyle w:val="FootnoteText"/>
        <w:rPr>
          <w:sz w:val="16"/>
          <w:szCs w:val="16"/>
          <w:lang w:val="en-CA"/>
        </w:rPr>
      </w:pPr>
      <w:r w:rsidRPr="00FD6DEA">
        <w:rPr>
          <w:rStyle w:val="FootnoteReference"/>
          <w:szCs w:val="16"/>
        </w:rPr>
        <w:footnoteRef/>
      </w:r>
      <w:r w:rsidRPr="00FD6DEA">
        <w:rPr>
          <w:sz w:val="16"/>
          <w:szCs w:val="16"/>
        </w:rPr>
        <w:t xml:space="preserve"> </w:t>
      </w:r>
      <w:r w:rsidRPr="00FD6DEA">
        <w:rPr>
          <w:sz w:val="16"/>
          <w:szCs w:val="16"/>
          <w:lang w:val="en-CA"/>
        </w:rPr>
        <w:t xml:space="preserve"> HIA, s. 66(2)</w:t>
      </w:r>
    </w:p>
  </w:footnote>
  <w:footnote w:id="10">
    <w:p w:rsidR="00473A9D" w:rsidRPr="00FD6DEA" w:rsidRDefault="00473A9D">
      <w:pPr>
        <w:pStyle w:val="FootnoteText"/>
        <w:rPr>
          <w:lang w:val="en-CA"/>
        </w:rPr>
      </w:pPr>
      <w:r>
        <w:rPr>
          <w:rStyle w:val="FootnoteReference"/>
        </w:rPr>
        <w:footnoteRef/>
      </w:r>
      <w:r>
        <w:t xml:space="preserve"> </w:t>
      </w:r>
      <w:r>
        <w:rPr>
          <w:i/>
          <w:sz w:val="16"/>
          <w:szCs w:val="16"/>
          <w:lang w:val="en-CA"/>
        </w:rPr>
        <w:t xml:space="preserve">HIA, </w:t>
      </w:r>
      <w:r>
        <w:rPr>
          <w:sz w:val="16"/>
          <w:szCs w:val="16"/>
          <w:lang w:val="en-CA"/>
        </w:rPr>
        <w:t>s. 27(1)(g)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D43" w:rsidRDefault="00784D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E16" w:rsidRDefault="00B04E16">
    <w:pPr>
      <w:pStyle w:val="Header"/>
      <w:jc w:val="center"/>
    </w:pPr>
    <w:r>
      <w:t xml:space="preserve">- </w:t>
    </w:r>
    <w:r>
      <w:fldChar w:fldCharType="begin"/>
    </w:r>
    <w:r>
      <w:instrText xml:space="preserve"> PAGE  \* MERGEFORMAT </w:instrText>
    </w:r>
    <w:r>
      <w:fldChar w:fldCharType="separate"/>
    </w:r>
    <w:r w:rsidR="00BF23EC">
      <w:rPr>
        <w:noProof/>
      </w:rPr>
      <w:t>11</w:t>
    </w:r>
    <w:r>
      <w:fldChar w:fldCharType="end"/>
    </w:r>
    <w:r>
      <w:t xml:space="preserve"> -</w:t>
    </w:r>
  </w:p>
  <w:p w:rsidR="00B04E16" w:rsidRDefault="00B04E16">
    <w:pPr>
      <w:pStyle w:val="Header"/>
    </w:pPr>
  </w:p>
  <w:p w:rsidR="00B04E16" w:rsidRDefault="00B04E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D43" w:rsidRDefault="00784D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328"/>
    <w:multiLevelType w:val="singleLevel"/>
    <w:tmpl w:val="EA7E982A"/>
    <w:lvl w:ilvl="0">
      <w:start w:val="1"/>
      <w:numFmt w:val="bullet"/>
      <w:pStyle w:val="mrBullet13"/>
      <w:lvlText w:val=""/>
      <w:lvlJc w:val="left"/>
      <w:pPr>
        <w:tabs>
          <w:tab w:val="num" w:pos="360"/>
        </w:tabs>
        <w:ind w:left="360" w:hanging="360"/>
      </w:pPr>
      <w:rPr>
        <w:rFonts w:ascii="Wingdings" w:hAnsi="Wingdings" w:hint="default"/>
        <w:sz w:val="24"/>
      </w:rPr>
    </w:lvl>
  </w:abstractNum>
  <w:abstractNum w:abstractNumId="1">
    <w:nsid w:val="10CA402D"/>
    <w:multiLevelType w:val="singleLevel"/>
    <w:tmpl w:val="7DC2F30E"/>
    <w:lvl w:ilvl="0">
      <w:start w:val="1"/>
      <w:numFmt w:val="bullet"/>
      <w:pStyle w:val="mrBullet3"/>
      <w:lvlText w:val=""/>
      <w:lvlJc w:val="left"/>
      <w:pPr>
        <w:tabs>
          <w:tab w:val="num" w:pos="360"/>
        </w:tabs>
        <w:ind w:left="360" w:hanging="360"/>
      </w:pPr>
      <w:rPr>
        <w:rFonts w:ascii="Wingdings" w:hAnsi="Wingdings" w:hint="default"/>
        <w:sz w:val="24"/>
      </w:rPr>
    </w:lvl>
  </w:abstractNum>
  <w:abstractNum w:abstractNumId="2">
    <w:nsid w:val="131C4F8A"/>
    <w:multiLevelType w:val="singleLevel"/>
    <w:tmpl w:val="40266FEC"/>
    <w:lvl w:ilvl="0">
      <w:start w:val="1"/>
      <w:numFmt w:val="bullet"/>
      <w:pStyle w:val="FilenameandPath"/>
      <w:lvlText w:val=""/>
      <w:lvlJc w:val="left"/>
      <w:pPr>
        <w:tabs>
          <w:tab w:val="num" w:pos="1440"/>
        </w:tabs>
        <w:ind w:left="1440" w:hanging="720"/>
      </w:pPr>
      <w:rPr>
        <w:rFonts w:ascii="Symbol" w:hAnsi="Symbol" w:hint="default"/>
      </w:rPr>
    </w:lvl>
  </w:abstractNum>
  <w:abstractNum w:abstractNumId="3">
    <w:nsid w:val="1ACA743F"/>
    <w:multiLevelType w:val="hybridMultilevel"/>
    <w:tmpl w:val="EBCC7D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28E4A21"/>
    <w:multiLevelType w:val="hybridMultilevel"/>
    <w:tmpl w:val="47D63B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3BD3DB1"/>
    <w:multiLevelType w:val="singleLevel"/>
    <w:tmpl w:val="3A541520"/>
    <w:lvl w:ilvl="0">
      <w:start w:val="1"/>
      <w:numFmt w:val="bullet"/>
      <w:pStyle w:val="mrBullet9"/>
      <w:lvlText w:val=""/>
      <w:lvlJc w:val="left"/>
      <w:pPr>
        <w:tabs>
          <w:tab w:val="num" w:pos="360"/>
        </w:tabs>
        <w:ind w:left="360" w:hanging="360"/>
      </w:pPr>
      <w:rPr>
        <w:rFonts w:ascii="Monotype Sorts" w:hAnsi="Monotype Sorts" w:hint="default"/>
        <w:sz w:val="24"/>
      </w:rPr>
    </w:lvl>
  </w:abstractNum>
  <w:abstractNum w:abstractNumId="6">
    <w:nsid w:val="280F124B"/>
    <w:multiLevelType w:val="hybridMultilevel"/>
    <w:tmpl w:val="18B4F460"/>
    <w:lvl w:ilvl="0" w:tplc="58B0F4BC">
      <w:start w:val="1"/>
      <w:numFmt w:val="bullet"/>
      <w:pStyle w:val="mrBullet15"/>
      <w:lvlText w:val=""/>
      <w:lvlJc w:val="left"/>
      <w:pPr>
        <w:tabs>
          <w:tab w:val="num" w:pos="360"/>
        </w:tabs>
        <w:ind w:left="360" w:hanging="360"/>
      </w:pPr>
      <w:rPr>
        <w:rFonts w:ascii="Wingdings 2" w:hAnsi="Wingdings 2" w:hint="default"/>
        <w:b w:val="0"/>
        <w:i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9625C5B"/>
    <w:multiLevelType w:val="hybridMultilevel"/>
    <w:tmpl w:val="E490E896"/>
    <w:lvl w:ilvl="0" w:tplc="4E2C513A">
      <w:start w:val="1"/>
      <w:numFmt w:val="bullet"/>
      <w:pStyle w:val="mrBullet14"/>
      <w:lvlText w:val="»"/>
      <w:lvlJc w:val="left"/>
      <w:pPr>
        <w:tabs>
          <w:tab w:val="num" w:pos="360"/>
        </w:tabs>
        <w:ind w:left="360" w:hanging="360"/>
      </w:pPr>
      <w:rPr>
        <w:rFonts w:ascii="Tahoma" w:hAnsi="Tahoma" w:hint="default"/>
        <w:b w:val="0"/>
        <w:i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C317D52"/>
    <w:multiLevelType w:val="hybridMultilevel"/>
    <w:tmpl w:val="0D66527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nsid w:val="2DD5763B"/>
    <w:multiLevelType w:val="hybridMultilevel"/>
    <w:tmpl w:val="9C0E417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F372002"/>
    <w:multiLevelType w:val="multilevel"/>
    <w:tmpl w:val="2EF4D3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Wingdings" w:eastAsia="Times New Roman" w:hAnsi="Wingdings"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464CD7"/>
    <w:multiLevelType w:val="multilevel"/>
    <w:tmpl w:val="49BC1C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433772"/>
    <w:multiLevelType w:val="hybridMultilevel"/>
    <w:tmpl w:val="5A96A5FE"/>
    <w:lvl w:ilvl="0" w:tplc="5A26C18A">
      <w:start w:val="1"/>
      <w:numFmt w:val="lowerLetter"/>
      <w:lvlText w:val="%1."/>
      <w:lvlJc w:val="left"/>
      <w:pPr>
        <w:ind w:left="1080" w:hanging="720"/>
      </w:pPr>
      <w:rPr>
        <w:rFonts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D884E9F"/>
    <w:multiLevelType w:val="singleLevel"/>
    <w:tmpl w:val="B378B7C2"/>
    <w:lvl w:ilvl="0">
      <w:start w:val="1"/>
      <w:numFmt w:val="bullet"/>
      <w:pStyle w:val="mrBullet10"/>
      <w:lvlText w:val=""/>
      <w:lvlJc w:val="left"/>
      <w:pPr>
        <w:tabs>
          <w:tab w:val="num" w:pos="360"/>
        </w:tabs>
        <w:ind w:left="360" w:hanging="360"/>
      </w:pPr>
      <w:rPr>
        <w:rFonts w:ascii="Monotype Sorts" w:hAnsi="Monotype Sorts" w:hint="default"/>
      </w:rPr>
    </w:lvl>
  </w:abstractNum>
  <w:abstractNum w:abstractNumId="14">
    <w:nsid w:val="3FC8264B"/>
    <w:multiLevelType w:val="singleLevel"/>
    <w:tmpl w:val="D5C47684"/>
    <w:lvl w:ilvl="0">
      <w:start w:val="1"/>
      <w:numFmt w:val="bullet"/>
      <w:pStyle w:val="mrBullet6"/>
      <w:lvlText w:val=""/>
      <w:lvlJc w:val="left"/>
      <w:pPr>
        <w:tabs>
          <w:tab w:val="num" w:pos="360"/>
        </w:tabs>
        <w:ind w:left="360" w:hanging="360"/>
      </w:pPr>
      <w:rPr>
        <w:rFonts w:ascii="Monotype Sorts" w:hAnsi="Monotype Sorts" w:hint="default"/>
        <w:sz w:val="24"/>
      </w:rPr>
    </w:lvl>
  </w:abstractNum>
  <w:abstractNum w:abstractNumId="15">
    <w:nsid w:val="41D4248A"/>
    <w:multiLevelType w:val="singleLevel"/>
    <w:tmpl w:val="0D4EAD52"/>
    <w:lvl w:ilvl="0">
      <w:start w:val="1"/>
      <w:numFmt w:val="bullet"/>
      <w:pStyle w:val="mrBullet11"/>
      <w:lvlText w:val=""/>
      <w:lvlJc w:val="left"/>
      <w:pPr>
        <w:tabs>
          <w:tab w:val="num" w:pos="360"/>
        </w:tabs>
        <w:ind w:left="360" w:hanging="360"/>
      </w:pPr>
      <w:rPr>
        <w:rFonts w:ascii="Monotype Sorts" w:hAnsi="Monotype Sorts" w:hint="default"/>
        <w:sz w:val="24"/>
      </w:rPr>
    </w:lvl>
  </w:abstractNum>
  <w:abstractNum w:abstractNumId="16">
    <w:nsid w:val="43CD4251"/>
    <w:multiLevelType w:val="hybridMultilevel"/>
    <w:tmpl w:val="1FFA296C"/>
    <w:lvl w:ilvl="0" w:tplc="6586569C">
      <w:start w:val="14"/>
      <w:numFmt w:val="decimal"/>
      <w:lvlText w:val="%1."/>
      <w:lvlJc w:val="left"/>
      <w:pPr>
        <w:ind w:left="960" w:hanging="360"/>
      </w:pPr>
      <w:rPr>
        <w:rFonts w:hint="default"/>
      </w:rPr>
    </w:lvl>
    <w:lvl w:ilvl="1" w:tplc="10090019" w:tentative="1">
      <w:start w:val="1"/>
      <w:numFmt w:val="lowerLetter"/>
      <w:lvlText w:val="%2."/>
      <w:lvlJc w:val="left"/>
      <w:pPr>
        <w:ind w:left="1680" w:hanging="360"/>
      </w:pPr>
    </w:lvl>
    <w:lvl w:ilvl="2" w:tplc="1009001B" w:tentative="1">
      <w:start w:val="1"/>
      <w:numFmt w:val="lowerRoman"/>
      <w:lvlText w:val="%3."/>
      <w:lvlJc w:val="right"/>
      <w:pPr>
        <w:ind w:left="2400" w:hanging="180"/>
      </w:pPr>
    </w:lvl>
    <w:lvl w:ilvl="3" w:tplc="1009000F" w:tentative="1">
      <w:start w:val="1"/>
      <w:numFmt w:val="decimal"/>
      <w:lvlText w:val="%4."/>
      <w:lvlJc w:val="left"/>
      <w:pPr>
        <w:ind w:left="3120" w:hanging="360"/>
      </w:pPr>
    </w:lvl>
    <w:lvl w:ilvl="4" w:tplc="10090019" w:tentative="1">
      <w:start w:val="1"/>
      <w:numFmt w:val="lowerLetter"/>
      <w:lvlText w:val="%5."/>
      <w:lvlJc w:val="left"/>
      <w:pPr>
        <w:ind w:left="3840" w:hanging="360"/>
      </w:pPr>
    </w:lvl>
    <w:lvl w:ilvl="5" w:tplc="1009001B" w:tentative="1">
      <w:start w:val="1"/>
      <w:numFmt w:val="lowerRoman"/>
      <w:lvlText w:val="%6."/>
      <w:lvlJc w:val="right"/>
      <w:pPr>
        <w:ind w:left="4560" w:hanging="180"/>
      </w:pPr>
    </w:lvl>
    <w:lvl w:ilvl="6" w:tplc="1009000F" w:tentative="1">
      <w:start w:val="1"/>
      <w:numFmt w:val="decimal"/>
      <w:lvlText w:val="%7."/>
      <w:lvlJc w:val="left"/>
      <w:pPr>
        <w:ind w:left="5280" w:hanging="360"/>
      </w:pPr>
    </w:lvl>
    <w:lvl w:ilvl="7" w:tplc="10090019" w:tentative="1">
      <w:start w:val="1"/>
      <w:numFmt w:val="lowerLetter"/>
      <w:lvlText w:val="%8."/>
      <w:lvlJc w:val="left"/>
      <w:pPr>
        <w:ind w:left="6000" w:hanging="360"/>
      </w:pPr>
    </w:lvl>
    <w:lvl w:ilvl="8" w:tplc="1009001B" w:tentative="1">
      <w:start w:val="1"/>
      <w:numFmt w:val="lowerRoman"/>
      <w:lvlText w:val="%9."/>
      <w:lvlJc w:val="right"/>
      <w:pPr>
        <w:ind w:left="6720" w:hanging="180"/>
      </w:pPr>
    </w:lvl>
  </w:abstractNum>
  <w:abstractNum w:abstractNumId="17">
    <w:nsid w:val="4FDA1F77"/>
    <w:multiLevelType w:val="multilevel"/>
    <w:tmpl w:val="A59262C4"/>
    <w:lvl w:ilvl="0">
      <w:start w:val="1"/>
      <w:numFmt w:val="decimal"/>
      <w:pStyle w:val="Heading1"/>
      <w:lvlText w:val="%1."/>
      <w:lvlJc w:val="left"/>
      <w:pPr>
        <w:tabs>
          <w:tab w:val="num" w:pos="720"/>
        </w:tabs>
        <w:ind w:left="720" w:hanging="720"/>
      </w:pPr>
      <w:rPr>
        <w:u w:val="none"/>
      </w:rPr>
    </w:lvl>
    <w:lvl w:ilvl="1">
      <w:start w:val="1"/>
      <w:numFmt w:val="lowerLetter"/>
      <w:pStyle w:val="Heading2"/>
      <w:lvlText w:val="%2."/>
      <w:lvlJc w:val="left"/>
      <w:pPr>
        <w:tabs>
          <w:tab w:val="num" w:pos="1440"/>
        </w:tabs>
        <w:ind w:left="1440" w:hanging="720"/>
      </w:pPr>
    </w:lvl>
    <w:lvl w:ilvl="2">
      <w:start w:val="1"/>
      <w:numFmt w:val="lowerRoman"/>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lowerLetter"/>
      <w:pStyle w:val="Heading5"/>
      <w:lvlText w:val="(%5)"/>
      <w:lvlJc w:val="left"/>
      <w:pPr>
        <w:tabs>
          <w:tab w:val="num" w:pos="3600"/>
        </w:tabs>
        <w:ind w:left="3600" w:hanging="720"/>
      </w:pPr>
    </w:lvl>
    <w:lvl w:ilvl="5">
      <w:start w:val="1"/>
      <w:numFmt w:val="lowerRoman"/>
      <w:pStyle w:val="Heading6"/>
      <w:lvlText w:val="(%6)"/>
      <w:lvlJc w:val="left"/>
      <w:pPr>
        <w:tabs>
          <w:tab w:val="num" w:pos="4320"/>
        </w:tabs>
        <w:ind w:left="4320" w:hanging="720"/>
      </w:pPr>
    </w:lvl>
    <w:lvl w:ilvl="6">
      <w:start w:val="1"/>
      <w:numFmt w:val="upperLetter"/>
      <w:lvlText w:val="%7."/>
      <w:lvlJc w:val="left"/>
      <w:pPr>
        <w:tabs>
          <w:tab w:val="num" w:pos="5040"/>
        </w:tabs>
        <w:ind w:left="5040" w:hanging="720"/>
      </w:pPr>
    </w:lvl>
    <w:lvl w:ilvl="7">
      <w:start w:val="1"/>
      <w:numFmt w:val="none"/>
      <w:lvlText w:val=""/>
      <w:lvlJc w:val="left"/>
      <w:pPr>
        <w:tabs>
          <w:tab w:val="num" w:pos="5702"/>
        </w:tabs>
        <w:ind w:left="5702" w:hanging="705"/>
      </w:pPr>
    </w:lvl>
    <w:lvl w:ilvl="8">
      <w:start w:val="1"/>
      <w:numFmt w:val="none"/>
      <w:lvlText w:val=""/>
      <w:lvlJc w:val="left"/>
      <w:pPr>
        <w:tabs>
          <w:tab w:val="num" w:pos="6408"/>
        </w:tabs>
        <w:ind w:left="6408" w:hanging="706"/>
      </w:pPr>
    </w:lvl>
  </w:abstractNum>
  <w:abstractNum w:abstractNumId="18">
    <w:nsid w:val="517C456F"/>
    <w:multiLevelType w:val="singleLevel"/>
    <w:tmpl w:val="0E2AD414"/>
    <w:lvl w:ilvl="0">
      <w:start w:val="1"/>
      <w:numFmt w:val="bullet"/>
      <w:pStyle w:val="mrBullet8"/>
      <w:lvlText w:val=""/>
      <w:lvlJc w:val="left"/>
      <w:pPr>
        <w:tabs>
          <w:tab w:val="num" w:pos="360"/>
        </w:tabs>
        <w:ind w:left="360" w:hanging="360"/>
      </w:pPr>
      <w:rPr>
        <w:rFonts w:ascii="Monotype Sorts" w:hAnsi="Monotype Sorts" w:hint="default"/>
        <w:sz w:val="24"/>
      </w:rPr>
    </w:lvl>
  </w:abstractNum>
  <w:abstractNum w:abstractNumId="19">
    <w:nsid w:val="57180B62"/>
    <w:multiLevelType w:val="hybridMultilevel"/>
    <w:tmpl w:val="2EF0FD14"/>
    <w:lvl w:ilvl="0" w:tplc="B052AE52">
      <w:numFmt w:val="bullet"/>
      <w:lvlText w:val=""/>
      <w:lvlJc w:val="left"/>
      <w:pPr>
        <w:ind w:left="1080" w:hanging="360"/>
      </w:pPr>
      <w:rPr>
        <w:rFonts w:ascii="Wingdings" w:eastAsia="Times New Roman" w:hAnsi="Wingdings"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nsid w:val="5B0D4E90"/>
    <w:multiLevelType w:val="singleLevel"/>
    <w:tmpl w:val="392A8F02"/>
    <w:lvl w:ilvl="0">
      <w:start w:val="1"/>
      <w:numFmt w:val="bullet"/>
      <w:pStyle w:val="mrBullet2"/>
      <w:lvlText w:val=""/>
      <w:lvlJc w:val="left"/>
      <w:pPr>
        <w:tabs>
          <w:tab w:val="num" w:pos="1080"/>
        </w:tabs>
        <w:ind w:left="1080" w:hanging="360"/>
      </w:pPr>
      <w:rPr>
        <w:rFonts w:ascii="Symbol" w:hAnsi="Symbol" w:hint="default"/>
      </w:rPr>
    </w:lvl>
  </w:abstractNum>
  <w:abstractNum w:abstractNumId="21">
    <w:nsid w:val="5EBA435E"/>
    <w:multiLevelType w:val="hybridMultilevel"/>
    <w:tmpl w:val="7E668A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2A0598C"/>
    <w:multiLevelType w:val="hybridMultilevel"/>
    <w:tmpl w:val="1EC27F02"/>
    <w:lvl w:ilvl="0" w:tplc="4F60A98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nsid w:val="670A3C72"/>
    <w:multiLevelType w:val="singleLevel"/>
    <w:tmpl w:val="637857B8"/>
    <w:lvl w:ilvl="0">
      <w:start w:val="1"/>
      <w:numFmt w:val="bullet"/>
      <w:pStyle w:val="mrBullet1"/>
      <w:lvlText w:val=""/>
      <w:lvlJc w:val="left"/>
      <w:pPr>
        <w:tabs>
          <w:tab w:val="num" w:pos="360"/>
        </w:tabs>
        <w:ind w:left="360" w:hanging="360"/>
      </w:pPr>
      <w:rPr>
        <w:rFonts w:ascii="Symbol" w:hAnsi="Symbol" w:hint="default"/>
      </w:rPr>
    </w:lvl>
  </w:abstractNum>
  <w:abstractNum w:abstractNumId="24">
    <w:nsid w:val="67806016"/>
    <w:multiLevelType w:val="singleLevel"/>
    <w:tmpl w:val="7F8CA18A"/>
    <w:lvl w:ilvl="0">
      <w:start w:val="1"/>
      <w:numFmt w:val="bullet"/>
      <w:pStyle w:val="mrBullet5"/>
      <w:lvlText w:val=""/>
      <w:lvlJc w:val="left"/>
      <w:pPr>
        <w:tabs>
          <w:tab w:val="num" w:pos="360"/>
        </w:tabs>
        <w:ind w:left="360" w:hanging="360"/>
      </w:pPr>
      <w:rPr>
        <w:rFonts w:ascii="Monotype Sorts" w:hAnsi="Monotype Sorts" w:hint="default"/>
        <w:sz w:val="24"/>
      </w:rPr>
    </w:lvl>
  </w:abstractNum>
  <w:abstractNum w:abstractNumId="25">
    <w:nsid w:val="689A31DF"/>
    <w:multiLevelType w:val="hybridMultilevel"/>
    <w:tmpl w:val="E49E21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nsid w:val="6E0D3200"/>
    <w:multiLevelType w:val="singleLevel"/>
    <w:tmpl w:val="ED6E35CA"/>
    <w:lvl w:ilvl="0">
      <w:start w:val="1"/>
      <w:numFmt w:val="bullet"/>
      <w:pStyle w:val="mrBullet4"/>
      <w:lvlText w:val=""/>
      <w:lvlJc w:val="left"/>
      <w:pPr>
        <w:tabs>
          <w:tab w:val="num" w:pos="360"/>
        </w:tabs>
        <w:ind w:left="360" w:hanging="360"/>
      </w:pPr>
      <w:rPr>
        <w:rFonts w:ascii="Wingdings" w:hAnsi="Wingdings" w:hint="default"/>
        <w:sz w:val="24"/>
      </w:rPr>
    </w:lvl>
  </w:abstractNum>
  <w:abstractNum w:abstractNumId="27">
    <w:nsid w:val="725440EA"/>
    <w:multiLevelType w:val="hybridMultilevel"/>
    <w:tmpl w:val="90825C62"/>
    <w:lvl w:ilvl="0" w:tplc="CCC081E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nsid w:val="789D7473"/>
    <w:multiLevelType w:val="singleLevel"/>
    <w:tmpl w:val="04DA8514"/>
    <w:lvl w:ilvl="0">
      <w:start w:val="1"/>
      <w:numFmt w:val="bullet"/>
      <w:pStyle w:val="mrBullet7"/>
      <w:lvlText w:val="–"/>
      <w:lvlJc w:val="left"/>
      <w:pPr>
        <w:tabs>
          <w:tab w:val="num" w:pos="360"/>
        </w:tabs>
        <w:ind w:left="360" w:hanging="360"/>
      </w:pPr>
      <w:rPr>
        <w:rFonts w:ascii="Times New Roman" w:hAnsi="Times New Roman" w:hint="default"/>
        <w:sz w:val="24"/>
      </w:rPr>
    </w:lvl>
  </w:abstractNum>
  <w:abstractNum w:abstractNumId="29">
    <w:nsid w:val="7A7B1FA8"/>
    <w:multiLevelType w:val="singleLevel"/>
    <w:tmpl w:val="30F46B62"/>
    <w:lvl w:ilvl="0">
      <w:start w:val="1"/>
      <w:numFmt w:val="bullet"/>
      <w:pStyle w:val="mrBullet12"/>
      <w:lvlText w:val=""/>
      <w:lvlJc w:val="left"/>
      <w:pPr>
        <w:tabs>
          <w:tab w:val="num" w:pos="360"/>
        </w:tabs>
        <w:ind w:left="360" w:hanging="360"/>
      </w:pPr>
      <w:rPr>
        <w:rFonts w:ascii="Symbol" w:hAnsi="Symbol" w:hint="default"/>
        <w:sz w:val="24"/>
      </w:rPr>
    </w:lvl>
  </w:abstractNum>
  <w:abstractNum w:abstractNumId="30">
    <w:nsid w:val="7BC92C14"/>
    <w:multiLevelType w:val="hybridMultilevel"/>
    <w:tmpl w:val="74DCB6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7"/>
  </w:num>
  <w:num w:numId="3">
    <w:abstractNumId w:val="23"/>
  </w:num>
  <w:num w:numId="4">
    <w:abstractNumId w:val="13"/>
  </w:num>
  <w:num w:numId="5">
    <w:abstractNumId w:val="15"/>
  </w:num>
  <w:num w:numId="6">
    <w:abstractNumId w:val="29"/>
  </w:num>
  <w:num w:numId="7">
    <w:abstractNumId w:val="0"/>
  </w:num>
  <w:num w:numId="8">
    <w:abstractNumId w:val="20"/>
  </w:num>
  <w:num w:numId="9">
    <w:abstractNumId w:val="1"/>
  </w:num>
  <w:num w:numId="10">
    <w:abstractNumId w:val="26"/>
  </w:num>
  <w:num w:numId="11">
    <w:abstractNumId w:val="24"/>
  </w:num>
  <w:num w:numId="12">
    <w:abstractNumId w:val="14"/>
  </w:num>
  <w:num w:numId="13">
    <w:abstractNumId w:val="28"/>
  </w:num>
  <w:num w:numId="14">
    <w:abstractNumId w:val="18"/>
  </w:num>
  <w:num w:numId="15">
    <w:abstractNumId w:val="5"/>
  </w:num>
  <w:num w:numId="16">
    <w:abstractNumId w:val="7"/>
  </w:num>
  <w:num w:numId="17">
    <w:abstractNumId w:val="6"/>
  </w:num>
  <w:num w:numId="18">
    <w:abstractNumId w:val="11"/>
  </w:num>
  <w:num w:numId="19">
    <w:abstractNumId w:val="10"/>
  </w:num>
  <w:num w:numId="20">
    <w:abstractNumId w:val="16"/>
  </w:num>
  <w:num w:numId="21">
    <w:abstractNumId w:val="3"/>
  </w:num>
  <w:num w:numId="22">
    <w:abstractNumId w:val="4"/>
  </w:num>
  <w:num w:numId="23">
    <w:abstractNumId w:val="22"/>
  </w:num>
  <w:num w:numId="24">
    <w:abstractNumId w:val="30"/>
  </w:num>
  <w:num w:numId="25">
    <w:abstractNumId w:val="12"/>
  </w:num>
  <w:num w:numId="26">
    <w:abstractNumId w:val="27"/>
  </w:num>
  <w:num w:numId="27">
    <w:abstractNumId w:val="9"/>
  </w:num>
  <w:num w:numId="28">
    <w:abstractNumId w:val="19"/>
  </w:num>
  <w:num w:numId="29">
    <w:abstractNumId w:val="21"/>
  </w:num>
  <w:num w:numId="30">
    <w:abstractNumId w:val="25"/>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2C9"/>
    <w:rsid w:val="000063E8"/>
    <w:rsid w:val="00010895"/>
    <w:rsid w:val="000140AB"/>
    <w:rsid w:val="0003044C"/>
    <w:rsid w:val="000338B3"/>
    <w:rsid w:val="00074897"/>
    <w:rsid w:val="000904DA"/>
    <w:rsid w:val="000953F2"/>
    <w:rsid w:val="000D2140"/>
    <w:rsid w:val="000F0506"/>
    <w:rsid w:val="000F12DB"/>
    <w:rsid w:val="001703F4"/>
    <w:rsid w:val="00181E73"/>
    <w:rsid w:val="001A6EF8"/>
    <w:rsid w:val="001B7818"/>
    <w:rsid w:val="001D6BBD"/>
    <w:rsid w:val="001F7DD2"/>
    <w:rsid w:val="00217A5A"/>
    <w:rsid w:val="00225482"/>
    <w:rsid w:val="002318B7"/>
    <w:rsid w:val="0024548E"/>
    <w:rsid w:val="002730BB"/>
    <w:rsid w:val="002774D2"/>
    <w:rsid w:val="00287E72"/>
    <w:rsid w:val="002932C9"/>
    <w:rsid w:val="002A5D93"/>
    <w:rsid w:val="002A6617"/>
    <w:rsid w:val="002C46ED"/>
    <w:rsid w:val="002D5023"/>
    <w:rsid w:val="002D6DAD"/>
    <w:rsid w:val="003022E3"/>
    <w:rsid w:val="003057BD"/>
    <w:rsid w:val="00320C09"/>
    <w:rsid w:val="003377A6"/>
    <w:rsid w:val="003F18AE"/>
    <w:rsid w:val="003F19A5"/>
    <w:rsid w:val="00400035"/>
    <w:rsid w:val="00430607"/>
    <w:rsid w:val="00436299"/>
    <w:rsid w:val="004369D7"/>
    <w:rsid w:val="004520B1"/>
    <w:rsid w:val="00466609"/>
    <w:rsid w:val="00473A9D"/>
    <w:rsid w:val="004752AE"/>
    <w:rsid w:val="0048587E"/>
    <w:rsid w:val="004900F4"/>
    <w:rsid w:val="004B506C"/>
    <w:rsid w:val="004C5221"/>
    <w:rsid w:val="004D7705"/>
    <w:rsid w:val="004F4EBD"/>
    <w:rsid w:val="004F688F"/>
    <w:rsid w:val="00525433"/>
    <w:rsid w:val="005437D3"/>
    <w:rsid w:val="0055487E"/>
    <w:rsid w:val="00581704"/>
    <w:rsid w:val="00597C52"/>
    <w:rsid w:val="005C1CFD"/>
    <w:rsid w:val="005D74DE"/>
    <w:rsid w:val="005F0FC3"/>
    <w:rsid w:val="00601ADF"/>
    <w:rsid w:val="00602805"/>
    <w:rsid w:val="00604FF0"/>
    <w:rsid w:val="00630078"/>
    <w:rsid w:val="00633833"/>
    <w:rsid w:val="00660227"/>
    <w:rsid w:val="0066033A"/>
    <w:rsid w:val="006B73AC"/>
    <w:rsid w:val="006F577A"/>
    <w:rsid w:val="007111B7"/>
    <w:rsid w:val="007425AB"/>
    <w:rsid w:val="0077636B"/>
    <w:rsid w:val="00780351"/>
    <w:rsid w:val="00784D43"/>
    <w:rsid w:val="00792B26"/>
    <w:rsid w:val="007A1B4B"/>
    <w:rsid w:val="007C78CA"/>
    <w:rsid w:val="00800A50"/>
    <w:rsid w:val="00811315"/>
    <w:rsid w:val="008D17FC"/>
    <w:rsid w:val="00916917"/>
    <w:rsid w:val="00933487"/>
    <w:rsid w:val="009413C9"/>
    <w:rsid w:val="00960AAF"/>
    <w:rsid w:val="009A7613"/>
    <w:rsid w:val="009D0E65"/>
    <w:rsid w:val="009E2054"/>
    <w:rsid w:val="00A34B98"/>
    <w:rsid w:val="00A47E20"/>
    <w:rsid w:val="00A9340B"/>
    <w:rsid w:val="00AA2ED7"/>
    <w:rsid w:val="00AA710E"/>
    <w:rsid w:val="00AB2529"/>
    <w:rsid w:val="00AF0CDD"/>
    <w:rsid w:val="00B04E16"/>
    <w:rsid w:val="00B11039"/>
    <w:rsid w:val="00B776F4"/>
    <w:rsid w:val="00B85065"/>
    <w:rsid w:val="00B94070"/>
    <w:rsid w:val="00BB5BEE"/>
    <w:rsid w:val="00BB7A79"/>
    <w:rsid w:val="00BE0A93"/>
    <w:rsid w:val="00BE1222"/>
    <w:rsid w:val="00BF23EC"/>
    <w:rsid w:val="00C57BA3"/>
    <w:rsid w:val="00C7375E"/>
    <w:rsid w:val="00C921BD"/>
    <w:rsid w:val="00CC5EB9"/>
    <w:rsid w:val="00CF0D7F"/>
    <w:rsid w:val="00CF7F6E"/>
    <w:rsid w:val="00D0057D"/>
    <w:rsid w:val="00D1547C"/>
    <w:rsid w:val="00D26A15"/>
    <w:rsid w:val="00D5134A"/>
    <w:rsid w:val="00D91635"/>
    <w:rsid w:val="00E50F09"/>
    <w:rsid w:val="00E567DA"/>
    <w:rsid w:val="00E672D2"/>
    <w:rsid w:val="00E93B34"/>
    <w:rsid w:val="00EA636B"/>
    <w:rsid w:val="00EA7FE7"/>
    <w:rsid w:val="00EC5E6E"/>
    <w:rsid w:val="00ED64DB"/>
    <w:rsid w:val="00EE2870"/>
    <w:rsid w:val="00EE3133"/>
    <w:rsid w:val="00EF11E9"/>
    <w:rsid w:val="00F34917"/>
    <w:rsid w:val="00F564BE"/>
    <w:rsid w:val="00F817DA"/>
    <w:rsid w:val="00FC7E22"/>
    <w:rsid w:val="00FD1B25"/>
    <w:rsid w:val="00FD32B1"/>
    <w:rsid w:val="00FD6DEA"/>
    <w:rsid w:val="00FE31E1"/>
    <w:rsid w:val="00FE4133"/>
    <w:rsid w:val="00FE6D5D"/>
    <w:rsid w:val="00FF4B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Signature"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next w:val="BodyText"/>
    <w:qFormat/>
    <w:rPr>
      <w:sz w:val="22"/>
      <w:lang w:val="en-US" w:eastAsia="en-US"/>
    </w:rPr>
  </w:style>
  <w:style w:type="paragraph" w:styleId="Heading1">
    <w:name w:val="heading 1"/>
    <w:aliases w:val="h1"/>
    <w:basedOn w:val="Normal"/>
    <w:qFormat/>
    <w:pPr>
      <w:numPr>
        <w:numId w:val="2"/>
      </w:numPr>
      <w:spacing w:before="240"/>
      <w:jc w:val="both"/>
      <w:outlineLvl w:val="0"/>
    </w:pPr>
  </w:style>
  <w:style w:type="paragraph" w:styleId="Heading2">
    <w:name w:val="heading 2"/>
    <w:aliases w:val="h2"/>
    <w:basedOn w:val="Normal"/>
    <w:qFormat/>
    <w:pPr>
      <w:numPr>
        <w:ilvl w:val="1"/>
        <w:numId w:val="2"/>
      </w:numPr>
      <w:spacing w:before="240"/>
      <w:jc w:val="both"/>
      <w:outlineLvl w:val="1"/>
    </w:pPr>
  </w:style>
  <w:style w:type="paragraph" w:styleId="Heading3">
    <w:name w:val="heading 3"/>
    <w:aliases w:val="h3"/>
    <w:basedOn w:val="Normal"/>
    <w:qFormat/>
    <w:pPr>
      <w:numPr>
        <w:ilvl w:val="2"/>
        <w:numId w:val="2"/>
      </w:numPr>
      <w:spacing w:before="240"/>
      <w:jc w:val="both"/>
      <w:outlineLvl w:val="2"/>
    </w:pPr>
  </w:style>
  <w:style w:type="paragraph" w:styleId="Heading4">
    <w:name w:val="heading 4"/>
    <w:aliases w:val="h4"/>
    <w:basedOn w:val="Normal"/>
    <w:qFormat/>
    <w:pPr>
      <w:numPr>
        <w:ilvl w:val="3"/>
        <w:numId w:val="2"/>
      </w:numPr>
      <w:spacing w:before="240"/>
      <w:jc w:val="both"/>
      <w:outlineLvl w:val="3"/>
    </w:pPr>
  </w:style>
  <w:style w:type="paragraph" w:styleId="Heading5">
    <w:name w:val="heading 5"/>
    <w:aliases w:val="h5"/>
    <w:basedOn w:val="Normal"/>
    <w:qFormat/>
    <w:pPr>
      <w:numPr>
        <w:ilvl w:val="4"/>
        <w:numId w:val="2"/>
      </w:numPr>
      <w:spacing w:before="240"/>
      <w:jc w:val="both"/>
      <w:outlineLvl w:val="4"/>
    </w:pPr>
  </w:style>
  <w:style w:type="paragraph" w:styleId="Heading6">
    <w:name w:val="heading 6"/>
    <w:aliases w:val="h6"/>
    <w:basedOn w:val="Normal"/>
    <w:qFormat/>
    <w:pPr>
      <w:numPr>
        <w:ilvl w:val="5"/>
        <w:numId w:val="2"/>
      </w:numPr>
      <w:spacing w:before="240"/>
      <w:jc w:val="both"/>
      <w:outlineLvl w:val="5"/>
    </w:pPr>
  </w:style>
  <w:style w:type="paragraph" w:styleId="Heading7">
    <w:name w:val="heading 7"/>
    <w:aliases w:val="h7"/>
    <w:basedOn w:val="Normal"/>
    <w:qFormat/>
    <w:pPr>
      <w:spacing w:before="240"/>
      <w:jc w:val="both"/>
      <w:outlineLvl w:val="6"/>
    </w:pPr>
  </w:style>
  <w:style w:type="paragraph" w:styleId="Heading8">
    <w:name w:val="heading 8"/>
    <w:aliases w:val="h8"/>
    <w:basedOn w:val="Normal"/>
    <w:qFormat/>
    <w:pPr>
      <w:spacing w:before="240"/>
      <w:jc w:val="both"/>
      <w:outlineLvl w:val="7"/>
    </w:pPr>
  </w:style>
  <w:style w:type="paragraph" w:styleId="Heading9">
    <w:name w:val="heading 9"/>
    <w:aliases w:val="h9"/>
    <w:basedOn w:val="Normal"/>
    <w:qFormat/>
    <w:pPr>
      <w:spacing w:before="24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jc w:val="both"/>
    </w:pPr>
    <w:rPr>
      <w:rFonts w:ascii="Arial" w:hAnsi="Arial"/>
      <w:b/>
      <w:lang w:val="en-GB"/>
    </w:rPr>
  </w:style>
  <w:style w:type="paragraph" w:customStyle="1" w:styleId="auto-dateforfooter">
    <w:name w:val="auto-date for footer"/>
    <w:basedOn w:val="Normal"/>
    <w:pPr>
      <w:tabs>
        <w:tab w:val="center" w:pos="4680"/>
        <w:tab w:val="right" w:pos="9360"/>
      </w:tabs>
      <w:jc w:val="both"/>
    </w:pPr>
  </w:style>
  <w:style w:type="paragraph" w:styleId="BodyText">
    <w:name w:val="Body Text"/>
    <w:aliases w:val="bt"/>
    <w:basedOn w:val="Normal"/>
    <w:qFormat/>
    <w:pPr>
      <w:spacing w:before="240"/>
      <w:jc w:val="both"/>
    </w:pPr>
  </w:style>
  <w:style w:type="paragraph" w:styleId="BodyText2">
    <w:name w:val="Body Text 2"/>
    <w:basedOn w:val="Normal"/>
    <w:pPr>
      <w:spacing w:before="240"/>
      <w:jc w:val="both"/>
    </w:pPr>
  </w:style>
  <w:style w:type="paragraph" w:customStyle="1" w:styleId="BodyTextSingle">
    <w:name w:val="BodyTextSingle"/>
    <w:aliases w:val="bts"/>
    <w:basedOn w:val="BodyText"/>
    <w:next w:val="BodyText"/>
    <w:pPr>
      <w:spacing w:before="0"/>
      <w:jc w:val="left"/>
    </w:pPr>
  </w:style>
  <w:style w:type="character" w:styleId="CommentReference">
    <w:name w:val="annotation reference"/>
    <w:semiHidden/>
    <w:rPr>
      <w:rFonts w:ascii="Bookman Old Style" w:hAnsi="Bookman Old Style"/>
      <w:b/>
      <w:dstrike w:val="0"/>
      <w:noProof w:val="0"/>
      <w:vanish/>
      <w:color w:val="auto"/>
      <w:spacing w:val="0"/>
      <w:w w:val="100"/>
      <w:kern w:val="0"/>
      <w:position w:val="0"/>
      <w:sz w:val="28"/>
      <w:vertAlign w:val="baseline"/>
      <w:lang w:val="en-US"/>
    </w:rPr>
  </w:style>
  <w:style w:type="paragraph" w:styleId="CommentText">
    <w:name w:val="annotation text"/>
    <w:basedOn w:val="Normal"/>
    <w:link w:val="CommentTextChar"/>
    <w:semiHidden/>
    <w:pPr>
      <w:spacing w:before="120"/>
    </w:pPr>
    <w:rPr>
      <w:rFonts w:ascii="Arial" w:hAnsi="Arial"/>
    </w:rPr>
  </w:style>
  <w:style w:type="paragraph" w:styleId="Date">
    <w:name w:val="Date"/>
    <w:basedOn w:val="Normal"/>
    <w:next w:val="Normal"/>
  </w:style>
  <w:style w:type="character" w:styleId="EndnoteReference">
    <w:name w:val="endnote reference"/>
    <w:semiHidden/>
    <w:rPr>
      <w:vertAlign w:val="superscript"/>
    </w:rPr>
  </w:style>
  <w:style w:type="paragraph" w:styleId="EndnoteText">
    <w:name w:val="endnote text"/>
    <w:basedOn w:val="Normal"/>
    <w:semiHidden/>
    <w:pPr>
      <w:spacing w:after="120"/>
      <w:jc w:val="both"/>
    </w:pPr>
    <w:rPr>
      <w:rFonts w:ascii="Arial" w:hAnsi="Arial"/>
    </w:rPr>
  </w:style>
  <w:style w:type="paragraph" w:styleId="EnvelopeReturn">
    <w:name w:val="envelope return"/>
    <w:basedOn w:val="Normal"/>
    <w:pPr>
      <w:framePr w:w="4320" w:h="1440" w:hRule="exact" w:hSpace="180" w:wrap="auto" w:vAnchor="page" w:hAnchor="page" w:x="1873" w:y="1801"/>
      <w:jc w:val="both"/>
    </w:pPr>
    <w:rPr>
      <w:rFonts w:ascii="Arial" w:hAnsi="Arial"/>
      <w:sz w:val="20"/>
      <w:lang w:val="en-GB"/>
    </w:rPr>
  </w:style>
  <w:style w:type="paragraph" w:customStyle="1" w:styleId="FilenameandPath">
    <w:name w:val="Filename and Path"/>
    <w:pPr>
      <w:numPr>
        <w:numId w:val="1"/>
      </w:numPr>
      <w:tabs>
        <w:tab w:val="clear" w:pos="1440"/>
        <w:tab w:val="left" w:pos="360"/>
      </w:tabs>
      <w:spacing w:before="120"/>
      <w:ind w:left="0" w:firstLine="0"/>
      <w:jc w:val="both"/>
    </w:pPr>
    <w:rPr>
      <w:noProof/>
      <w:sz w:val="14"/>
      <w:lang w:val="en-US" w:eastAsia="en-US"/>
    </w:rPr>
  </w:style>
  <w:style w:type="character" w:styleId="FootnoteReference">
    <w:name w:val="footnote reference"/>
    <w:semiHidden/>
    <w:rPr>
      <w:position w:val="6"/>
      <w:sz w:val="16"/>
      <w:vertAlign w:val="baseline"/>
    </w:rPr>
  </w:style>
  <w:style w:type="paragraph" w:styleId="FootnoteText">
    <w:name w:val="footnote text"/>
    <w:basedOn w:val="Normal"/>
    <w:link w:val="FootnoteTextChar"/>
    <w:semiHidden/>
    <w:pPr>
      <w:spacing w:after="120"/>
      <w:jc w:val="both"/>
    </w:pPr>
    <w:rPr>
      <w:sz w:val="20"/>
    </w:rPr>
  </w:style>
  <w:style w:type="paragraph" w:customStyle="1" w:styleId="frontpage">
    <w:name w:val="front page"/>
    <w:basedOn w:val="Heading4"/>
    <w:pPr>
      <w:numPr>
        <w:ilvl w:val="0"/>
        <w:numId w:val="0"/>
      </w:numPr>
      <w:tabs>
        <w:tab w:val="num" w:pos="1440"/>
      </w:tabs>
      <w:spacing w:before="0" w:after="120"/>
      <w:ind w:left="2448" w:right="1440" w:hanging="720"/>
      <w:outlineLvl w:val="9"/>
    </w:pPr>
    <w:rPr>
      <w:rFonts w:ascii="Arial" w:hAnsi="Arial"/>
      <w:b/>
      <w:i/>
      <w:sz w:val="18"/>
    </w:rPr>
  </w:style>
  <w:style w:type="paragraph" w:styleId="Header">
    <w:name w:val="header"/>
    <w:basedOn w:val="Normal"/>
    <w:pPr>
      <w:tabs>
        <w:tab w:val="center" w:pos="4680"/>
        <w:tab w:val="right" w:pos="9360"/>
      </w:tabs>
      <w:jc w:val="both"/>
    </w:pPr>
  </w:style>
  <w:style w:type="character" w:styleId="Hyperlink">
    <w:name w:val="Hyperlink"/>
    <w:rPr>
      <w:color w:val="0000FF"/>
      <w:u w:val="single"/>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mrBullet1">
    <w:name w:val="mrBullet1"/>
    <w:aliases w:val="b1"/>
    <w:basedOn w:val="Normal"/>
    <w:qFormat/>
    <w:rsid w:val="000063E8"/>
    <w:pPr>
      <w:numPr>
        <w:numId w:val="3"/>
      </w:numPr>
      <w:spacing w:before="120"/>
      <w:jc w:val="both"/>
    </w:pPr>
  </w:style>
  <w:style w:type="paragraph" w:customStyle="1" w:styleId="mrBullet10">
    <w:name w:val="mrBullet10"/>
    <w:aliases w:val="b10"/>
    <w:basedOn w:val="Normal"/>
    <w:rsid w:val="000063E8"/>
    <w:pPr>
      <w:numPr>
        <w:numId w:val="4"/>
      </w:numPr>
      <w:spacing w:before="120"/>
      <w:jc w:val="both"/>
    </w:pPr>
  </w:style>
  <w:style w:type="paragraph" w:customStyle="1" w:styleId="mrBullet11">
    <w:name w:val="mrBullet11"/>
    <w:aliases w:val="b11"/>
    <w:basedOn w:val="Normal"/>
    <w:rsid w:val="000063E8"/>
    <w:pPr>
      <w:numPr>
        <w:numId w:val="5"/>
      </w:numPr>
      <w:spacing w:before="120"/>
      <w:jc w:val="both"/>
    </w:pPr>
  </w:style>
  <w:style w:type="paragraph" w:customStyle="1" w:styleId="mrBullet12">
    <w:name w:val="mrBullet12"/>
    <w:aliases w:val="b12"/>
    <w:basedOn w:val="Normal"/>
    <w:rsid w:val="000063E8"/>
    <w:pPr>
      <w:numPr>
        <w:numId w:val="6"/>
      </w:numPr>
      <w:spacing w:before="120"/>
      <w:jc w:val="both"/>
    </w:pPr>
  </w:style>
  <w:style w:type="paragraph" w:customStyle="1" w:styleId="mrBullet13">
    <w:name w:val="mrBullet13"/>
    <w:aliases w:val="b13"/>
    <w:basedOn w:val="Normal"/>
    <w:rsid w:val="000063E8"/>
    <w:pPr>
      <w:numPr>
        <w:numId w:val="7"/>
      </w:numPr>
      <w:spacing w:before="120"/>
      <w:jc w:val="both"/>
    </w:pPr>
  </w:style>
  <w:style w:type="paragraph" w:customStyle="1" w:styleId="mrBullet2">
    <w:name w:val="mrBullet2"/>
    <w:aliases w:val="b2"/>
    <w:basedOn w:val="Normal"/>
    <w:qFormat/>
    <w:rsid w:val="000063E8"/>
    <w:pPr>
      <w:numPr>
        <w:numId w:val="8"/>
      </w:numPr>
      <w:spacing w:before="120"/>
      <w:jc w:val="both"/>
    </w:pPr>
  </w:style>
  <w:style w:type="paragraph" w:customStyle="1" w:styleId="mrBullet4">
    <w:name w:val="mrBullet4"/>
    <w:aliases w:val="b4"/>
    <w:basedOn w:val="Normal"/>
    <w:rsid w:val="000063E8"/>
    <w:pPr>
      <w:numPr>
        <w:numId w:val="10"/>
      </w:numPr>
      <w:spacing w:before="120"/>
      <w:jc w:val="both"/>
    </w:pPr>
  </w:style>
  <w:style w:type="paragraph" w:customStyle="1" w:styleId="mrBullet3">
    <w:name w:val="mrBullet3"/>
    <w:aliases w:val="b3"/>
    <w:basedOn w:val="Normal"/>
    <w:rsid w:val="000063E8"/>
    <w:pPr>
      <w:numPr>
        <w:numId w:val="9"/>
      </w:numPr>
      <w:spacing w:before="120"/>
      <w:jc w:val="both"/>
    </w:pPr>
  </w:style>
  <w:style w:type="paragraph" w:customStyle="1" w:styleId="mrBullet5">
    <w:name w:val="mrBullet5"/>
    <w:aliases w:val="b5"/>
    <w:basedOn w:val="Normal"/>
    <w:rsid w:val="000063E8"/>
    <w:pPr>
      <w:numPr>
        <w:numId w:val="11"/>
      </w:numPr>
      <w:spacing w:before="120"/>
      <w:jc w:val="both"/>
    </w:pPr>
  </w:style>
  <w:style w:type="paragraph" w:customStyle="1" w:styleId="mrBullet6">
    <w:name w:val="mrBullet6"/>
    <w:aliases w:val="b6"/>
    <w:basedOn w:val="Normal"/>
    <w:rsid w:val="000063E8"/>
    <w:pPr>
      <w:numPr>
        <w:numId w:val="12"/>
      </w:numPr>
      <w:spacing w:before="120"/>
      <w:jc w:val="both"/>
    </w:pPr>
  </w:style>
  <w:style w:type="paragraph" w:customStyle="1" w:styleId="mrBullet7">
    <w:name w:val="mrBullet7"/>
    <w:aliases w:val="b7"/>
    <w:basedOn w:val="Normal"/>
    <w:rsid w:val="000063E8"/>
    <w:pPr>
      <w:numPr>
        <w:numId w:val="13"/>
      </w:numPr>
      <w:spacing w:before="120"/>
      <w:jc w:val="both"/>
    </w:pPr>
  </w:style>
  <w:style w:type="paragraph" w:customStyle="1" w:styleId="mrBullet8">
    <w:name w:val="mrBullet8"/>
    <w:aliases w:val="b8"/>
    <w:basedOn w:val="Normal"/>
    <w:rsid w:val="000063E8"/>
    <w:pPr>
      <w:numPr>
        <w:numId w:val="14"/>
      </w:numPr>
      <w:spacing w:before="120"/>
      <w:jc w:val="both"/>
    </w:pPr>
  </w:style>
  <w:style w:type="paragraph" w:customStyle="1" w:styleId="mrBullet9">
    <w:name w:val="mrBullet9"/>
    <w:aliases w:val="b9"/>
    <w:basedOn w:val="Normal"/>
    <w:rsid w:val="000063E8"/>
    <w:pPr>
      <w:numPr>
        <w:numId w:val="15"/>
      </w:numPr>
      <w:spacing w:before="120"/>
      <w:jc w:val="both"/>
    </w:pPr>
  </w:style>
  <w:style w:type="paragraph" w:customStyle="1" w:styleId="mrCentre1">
    <w:name w:val="mrCentre1"/>
    <w:aliases w:val="ctr1"/>
    <w:basedOn w:val="Normal"/>
    <w:next w:val="BodyText"/>
    <w:qFormat/>
    <w:pPr>
      <w:keepNext/>
      <w:spacing w:before="360"/>
      <w:jc w:val="center"/>
    </w:pPr>
    <w:rPr>
      <w:b/>
    </w:rPr>
  </w:style>
  <w:style w:type="paragraph" w:customStyle="1" w:styleId="mrCentre2">
    <w:name w:val="mrCentre2"/>
    <w:aliases w:val="ctr2"/>
    <w:basedOn w:val="Normal"/>
    <w:next w:val="BodyText"/>
    <w:qFormat/>
    <w:pPr>
      <w:keepNext/>
      <w:spacing w:before="360"/>
      <w:jc w:val="center"/>
    </w:pPr>
  </w:style>
  <w:style w:type="paragraph" w:customStyle="1" w:styleId="mrIndent">
    <w:name w:val="mrIndent"/>
    <w:aliases w:val="i1"/>
    <w:basedOn w:val="Normal"/>
    <w:qFormat/>
    <w:pPr>
      <w:spacing w:before="240"/>
      <w:ind w:left="720"/>
      <w:jc w:val="both"/>
    </w:pPr>
  </w:style>
  <w:style w:type="paragraph" w:customStyle="1" w:styleId="mrIndent2">
    <w:name w:val="mrIndent2"/>
    <w:aliases w:val="i2"/>
    <w:basedOn w:val="Normal"/>
    <w:qFormat/>
    <w:pPr>
      <w:spacing w:before="240"/>
      <w:ind w:left="1440"/>
      <w:jc w:val="both"/>
    </w:pPr>
  </w:style>
  <w:style w:type="paragraph" w:customStyle="1" w:styleId="mrIndent3">
    <w:name w:val="mrIndent3"/>
    <w:aliases w:val="i3"/>
    <w:basedOn w:val="Normal"/>
    <w:qFormat/>
    <w:pPr>
      <w:spacing w:before="240"/>
      <w:ind w:left="2160"/>
      <w:jc w:val="both"/>
    </w:pPr>
  </w:style>
  <w:style w:type="paragraph" w:customStyle="1" w:styleId="mrIndent4">
    <w:name w:val="mrIndent4"/>
    <w:aliases w:val="i4"/>
    <w:basedOn w:val="Normal"/>
    <w:qFormat/>
    <w:pPr>
      <w:spacing w:before="240"/>
      <w:ind w:left="2880"/>
      <w:jc w:val="both"/>
    </w:pPr>
  </w:style>
  <w:style w:type="paragraph" w:customStyle="1" w:styleId="mrIndent5">
    <w:name w:val="mrIndent5"/>
    <w:aliases w:val="i5"/>
    <w:basedOn w:val="Normal"/>
    <w:qFormat/>
    <w:pPr>
      <w:spacing w:before="240"/>
      <w:ind w:left="3600"/>
      <w:jc w:val="both"/>
    </w:pPr>
  </w:style>
  <w:style w:type="paragraph" w:customStyle="1" w:styleId="mrLine1Indent">
    <w:name w:val="mrLine1Indent"/>
    <w:aliases w:val="L1"/>
    <w:basedOn w:val="Normal"/>
    <w:qFormat/>
    <w:pPr>
      <w:spacing w:before="240"/>
      <w:ind w:firstLine="720"/>
      <w:jc w:val="both"/>
    </w:pPr>
  </w:style>
  <w:style w:type="paragraph" w:customStyle="1" w:styleId="mrTitle1TOC">
    <w:name w:val="mrTitle1(TOC)"/>
    <w:aliases w:val="tc1"/>
    <w:basedOn w:val="Normal"/>
    <w:next w:val="BodyText"/>
    <w:qFormat/>
    <w:pPr>
      <w:keepNext/>
      <w:spacing w:before="360"/>
    </w:pPr>
    <w:rPr>
      <w:b/>
    </w:rPr>
  </w:style>
  <w:style w:type="paragraph" w:customStyle="1" w:styleId="mrTitle2TOC">
    <w:name w:val="mrTitle2(TOC)"/>
    <w:aliases w:val="tc2"/>
    <w:basedOn w:val="Normal"/>
    <w:next w:val="BodyText"/>
    <w:qFormat/>
    <w:pPr>
      <w:keepNext/>
      <w:spacing w:before="360"/>
    </w:pPr>
  </w:style>
  <w:style w:type="paragraph" w:customStyle="1" w:styleId="mrTitleCenterBold">
    <w:name w:val="mrTitleCenterBold"/>
    <w:aliases w:val="c1"/>
    <w:basedOn w:val="Normal"/>
    <w:next w:val="Heading1"/>
    <w:qFormat/>
    <w:pPr>
      <w:keepNext/>
      <w:spacing w:before="360"/>
      <w:jc w:val="center"/>
    </w:pPr>
    <w:rPr>
      <w:b/>
      <w:u w:val="single"/>
    </w:rPr>
  </w:style>
  <w:style w:type="paragraph" w:customStyle="1" w:styleId="mrTitleCenterNoBold">
    <w:name w:val="mrTitleCenterNoBold"/>
    <w:aliases w:val="c2"/>
    <w:basedOn w:val="Normal"/>
    <w:next w:val="Heading1"/>
    <w:qFormat/>
    <w:pPr>
      <w:keepNext/>
      <w:spacing w:before="360"/>
      <w:jc w:val="center"/>
    </w:pPr>
  </w:style>
  <w:style w:type="paragraph" w:customStyle="1" w:styleId="mrTitleMarginBold">
    <w:name w:val="mrTitleMarginBold"/>
    <w:aliases w:val="m1"/>
    <w:basedOn w:val="Normal"/>
    <w:next w:val="Heading1"/>
    <w:qFormat/>
    <w:pPr>
      <w:keepNext/>
      <w:spacing w:before="360"/>
    </w:pPr>
    <w:rPr>
      <w:b/>
    </w:rPr>
  </w:style>
  <w:style w:type="paragraph" w:customStyle="1" w:styleId="Quote1">
    <w:name w:val="Quote1"/>
    <w:aliases w:val="quote"/>
    <w:basedOn w:val="Normal"/>
    <w:qFormat/>
    <w:pPr>
      <w:spacing w:before="240"/>
      <w:ind w:left="1440" w:right="1440"/>
      <w:jc w:val="both"/>
    </w:pPr>
    <w:rPr>
      <w:sz w:val="20"/>
    </w:rPr>
  </w:style>
  <w:style w:type="paragraph" w:styleId="TOC1">
    <w:name w:val="toc 1"/>
    <w:basedOn w:val="Normal"/>
    <w:next w:val="Normal"/>
    <w:autoRedefine/>
    <w:semiHidden/>
    <w:pPr>
      <w:tabs>
        <w:tab w:val="left" w:pos="1440"/>
        <w:tab w:val="right" w:leader="dot" w:pos="9360"/>
      </w:tabs>
      <w:ind w:left="720" w:hanging="720"/>
    </w:pPr>
    <w:rPr>
      <w:b/>
      <w:caps/>
    </w:rPr>
  </w:style>
  <w:style w:type="paragraph" w:styleId="TOC2">
    <w:name w:val="toc 2"/>
    <w:basedOn w:val="Normal"/>
    <w:next w:val="Normal"/>
    <w:autoRedefine/>
    <w:semiHidden/>
    <w:pPr>
      <w:ind w:left="2160" w:hanging="1440"/>
    </w:pPr>
    <w:rPr>
      <w:sz w:val="20"/>
    </w:rPr>
  </w:style>
  <w:style w:type="paragraph" w:styleId="TOC3">
    <w:name w:val="toc 3"/>
    <w:basedOn w:val="Normal"/>
    <w:next w:val="Normal"/>
    <w:autoRedefine/>
    <w:semiHidden/>
    <w:pPr>
      <w:ind w:left="3600" w:hanging="2160"/>
    </w:pPr>
    <w:rPr>
      <w:i/>
      <w:sz w:val="18"/>
    </w:rPr>
  </w:style>
  <w:style w:type="paragraph" w:customStyle="1" w:styleId="mrTitleMarginNoBold">
    <w:name w:val="mrTitleMarginNoBold"/>
    <w:aliases w:val="m2"/>
    <w:basedOn w:val="Normal"/>
    <w:next w:val="Heading1"/>
    <w:qFormat/>
    <w:pPr>
      <w:keepNext/>
      <w:spacing w:before="360"/>
    </w:pPr>
  </w:style>
  <w:style w:type="paragraph" w:styleId="Signature">
    <w:name w:val="Signature"/>
    <w:aliases w:val="sign"/>
    <w:basedOn w:val="Normal"/>
    <w:qFormat/>
    <w:pPr>
      <w:keepNext/>
      <w:ind w:left="4320"/>
    </w:pPr>
    <w:rPr>
      <w:b/>
    </w:rPr>
  </w:style>
  <w:style w:type="paragraph" w:styleId="Footer">
    <w:name w:val="footer"/>
    <w:basedOn w:val="Normal"/>
    <w:pPr>
      <w:tabs>
        <w:tab w:val="center" w:pos="4680"/>
        <w:tab w:val="right" w:pos="9360"/>
      </w:tabs>
    </w:pPr>
  </w:style>
  <w:style w:type="character" w:styleId="FollowedHyperlink">
    <w:name w:val="FollowedHyperlink"/>
    <w:rPr>
      <w:color w:val="000080"/>
      <w:u w:val="single"/>
    </w:rPr>
  </w:style>
  <w:style w:type="paragraph" w:customStyle="1" w:styleId="mrBullet14">
    <w:name w:val="mrBullet14"/>
    <w:aliases w:val="b14"/>
    <w:basedOn w:val="Normal"/>
    <w:rsid w:val="000063E8"/>
    <w:pPr>
      <w:numPr>
        <w:numId w:val="16"/>
      </w:numPr>
      <w:spacing w:before="120"/>
      <w:jc w:val="both"/>
    </w:pPr>
  </w:style>
  <w:style w:type="paragraph" w:customStyle="1" w:styleId="Cite">
    <w:name w:val="Cite"/>
    <w:aliases w:val="cite"/>
    <w:basedOn w:val="BodyText"/>
    <w:qFormat/>
    <w:pPr>
      <w:ind w:left="5040"/>
    </w:pPr>
  </w:style>
  <w:style w:type="paragraph" w:customStyle="1" w:styleId="mrBullet15">
    <w:name w:val="mrBullet15"/>
    <w:aliases w:val="b15"/>
    <w:basedOn w:val="Normal"/>
    <w:rsid w:val="000063E8"/>
    <w:pPr>
      <w:numPr>
        <w:numId w:val="17"/>
      </w:numPr>
      <w:spacing w:before="120"/>
      <w:jc w:val="both"/>
    </w:pPr>
  </w:style>
  <w:style w:type="paragraph" w:styleId="BalloonText">
    <w:name w:val="Balloon Text"/>
    <w:basedOn w:val="Normal"/>
    <w:link w:val="BalloonTextChar"/>
    <w:rsid w:val="004F4EBD"/>
    <w:rPr>
      <w:rFonts w:ascii="Tahoma" w:hAnsi="Tahoma" w:cs="Tahoma"/>
      <w:sz w:val="16"/>
      <w:szCs w:val="16"/>
    </w:rPr>
  </w:style>
  <w:style w:type="character" w:customStyle="1" w:styleId="BalloonTextChar">
    <w:name w:val="Balloon Text Char"/>
    <w:link w:val="BalloonText"/>
    <w:rsid w:val="004F4EBD"/>
    <w:rPr>
      <w:rFonts w:ascii="Tahoma" w:hAnsi="Tahoma" w:cs="Tahoma"/>
      <w:sz w:val="16"/>
      <w:szCs w:val="16"/>
      <w:lang w:val="en-US" w:eastAsia="en-US"/>
    </w:rPr>
  </w:style>
  <w:style w:type="paragraph" w:styleId="ListParagraph">
    <w:name w:val="List Paragraph"/>
    <w:basedOn w:val="Normal"/>
    <w:uiPriority w:val="34"/>
    <w:qFormat/>
    <w:rsid w:val="00BE1222"/>
    <w:pPr>
      <w:ind w:left="720"/>
      <w:contextualSpacing/>
    </w:pPr>
  </w:style>
  <w:style w:type="paragraph" w:styleId="CommentSubject">
    <w:name w:val="annotation subject"/>
    <w:basedOn w:val="CommentText"/>
    <w:next w:val="CommentText"/>
    <w:link w:val="CommentSubjectChar"/>
    <w:rsid w:val="0024548E"/>
    <w:pPr>
      <w:spacing w:before="0"/>
    </w:pPr>
    <w:rPr>
      <w:rFonts w:ascii="Times New Roman" w:hAnsi="Times New Roman"/>
      <w:b/>
      <w:bCs/>
      <w:sz w:val="20"/>
    </w:rPr>
  </w:style>
  <w:style w:type="character" w:customStyle="1" w:styleId="CommentTextChar">
    <w:name w:val="Comment Text Char"/>
    <w:basedOn w:val="DefaultParagraphFont"/>
    <w:link w:val="CommentText"/>
    <w:semiHidden/>
    <w:rsid w:val="0024548E"/>
    <w:rPr>
      <w:rFonts w:ascii="Arial" w:hAnsi="Arial"/>
      <w:sz w:val="22"/>
      <w:lang w:val="en-US" w:eastAsia="en-US"/>
    </w:rPr>
  </w:style>
  <w:style w:type="character" w:customStyle="1" w:styleId="CommentSubjectChar">
    <w:name w:val="Comment Subject Char"/>
    <w:basedOn w:val="CommentTextChar"/>
    <w:link w:val="CommentSubject"/>
    <w:rsid w:val="0024548E"/>
    <w:rPr>
      <w:rFonts w:ascii="Arial" w:hAnsi="Arial"/>
      <w:b/>
      <w:bCs/>
      <w:sz w:val="22"/>
      <w:lang w:val="en-US" w:eastAsia="en-US"/>
    </w:rPr>
  </w:style>
  <w:style w:type="character" w:customStyle="1" w:styleId="FootnoteTextChar">
    <w:name w:val="Footnote Text Char"/>
    <w:basedOn w:val="DefaultParagraphFont"/>
    <w:link w:val="FootnoteText"/>
    <w:semiHidden/>
    <w:rsid w:val="00217A5A"/>
    <w:rPr>
      <w:lang w:val="en-US" w:eastAsia="en-US"/>
    </w:rPr>
  </w:style>
  <w:style w:type="table" w:styleId="MediumGrid3-Accent5">
    <w:name w:val="Medium Grid 3 Accent 5"/>
    <w:basedOn w:val="TableNormal"/>
    <w:uiPriority w:val="69"/>
    <w:rsid w:val="00784D43"/>
    <w:rPr>
      <w:rFonts w:asciiTheme="minorHAnsi" w:eastAsiaTheme="minorHAnsi" w:hAnsiTheme="minorHAnsi" w:cstheme="minorBidi"/>
      <w:sz w:val="22"/>
      <w:szCs w:val="22"/>
      <w:lang w:eastAsia="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Signature"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next w:val="BodyText"/>
    <w:qFormat/>
    <w:rPr>
      <w:sz w:val="22"/>
      <w:lang w:val="en-US" w:eastAsia="en-US"/>
    </w:rPr>
  </w:style>
  <w:style w:type="paragraph" w:styleId="Heading1">
    <w:name w:val="heading 1"/>
    <w:aliases w:val="h1"/>
    <w:basedOn w:val="Normal"/>
    <w:qFormat/>
    <w:pPr>
      <w:numPr>
        <w:numId w:val="2"/>
      </w:numPr>
      <w:spacing w:before="240"/>
      <w:jc w:val="both"/>
      <w:outlineLvl w:val="0"/>
    </w:pPr>
  </w:style>
  <w:style w:type="paragraph" w:styleId="Heading2">
    <w:name w:val="heading 2"/>
    <w:aliases w:val="h2"/>
    <w:basedOn w:val="Normal"/>
    <w:qFormat/>
    <w:pPr>
      <w:numPr>
        <w:ilvl w:val="1"/>
        <w:numId w:val="2"/>
      </w:numPr>
      <w:spacing w:before="240"/>
      <w:jc w:val="both"/>
      <w:outlineLvl w:val="1"/>
    </w:pPr>
  </w:style>
  <w:style w:type="paragraph" w:styleId="Heading3">
    <w:name w:val="heading 3"/>
    <w:aliases w:val="h3"/>
    <w:basedOn w:val="Normal"/>
    <w:qFormat/>
    <w:pPr>
      <w:numPr>
        <w:ilvl w:val="2"/>
        <w:numId w:val="2"/>
      </w:numPr>
      <w:spacing w:before="240"/>
      <w:jc w:val="both"/>
      <w:outlineLvl w:val="2"/>
    </w:pPr>
  </w:style>
  <w:style w:type="paragraph" w:styleId="Heading4">
    <w:name w:val="heading 4"/>
    <w:aliases w:val="h4"/>
    <w:basedOn w:val="Normal"/>
    <w:qFormat/>
    <w:pPr>
      <w:numPr>
        <w:ilvl w:val="3"/>
        <w:numId w:val="2"/>
      </w:numPr>
      <w:spacing w:before="240"/>
      <w:jc w:val="both"/>
      <w:outlineLvl w:val="3"/>
    </w:pPr>
  </w:style>
  <w:style w:type="paragraph" w:styleId="Heading5">
    <w:name w:val="heading 5"/>
    <w:aliases w:val="h5"/>
    <w:basedOn w:val="Normal"/>
    <w:qFormat/>
    <w:pPr>
      <w:numPr>
        <w:ilvl w:val="4"/>
        <w:numId w:val="2"/>
      </w:numPr>
      <w:spacing w:before="240"/>
      <w:jc w:val="both"/>
      <w:outlineLvl w:val="4"/>
    </w:pPr>
  </w:style>
  <w:style w:type="paragraph" w:styleId="Heading6">
    <w:name w:val="heading 6"/>
    <w:aliases w:val="h6"/>
    <w:basedOn w:val="Normal"/>
    <w:qFormat/>
    <w:pPr>
      <w:numPr>
        <w:ilvl w:val="5"/>
        <w:numId w:val="2"/>
      </w:numPr>
      <w:spacing w:before="240"/>
      <w:jc w:val="both"/>
      <w:outlineLvl w:val="5"/>
    </w:pPr>
  </w:style>
  <w:style w:type="paragraph" w:styleId="Heading7">
    <w:name w:val="heading 7"/>
    <w:aliases w:val="h7"/>
    <w:basedOn w:val="Normal"/>
    <w:qFormat/>
    <w:pPr>
      <w:spacing w:before="240"/>
      <w:jc w:val="both"/>
      <w:outlineLvl w:val="6"/>
    </w:pPr>
  </w:style>
  <w:style w:type="paragraph" w:styleId="Heading8">
    <w:name w:val="heading 8"/>
    <w:aliases w:val="h8"/>
    <w:basedOn w:val="Normal"/>
    <w:qFormat/>
    <w:pPr>
      <w:spacing w:before="240"/>
      <w:jc w:val="both"/>
      <w:outlineLvl w:val="7"/>
    </w:pPr>
  </w:style>
  <w:style w:type="paragraph" w:styleId="Heading9">
    <w:name w:val="heading 9"/>
    <w:aliases w:val="h9"/>
    <w:basedOn w:val="Normal"/>
    <w:qFormat/>
    <w:pPr>
      <w:spacing w:before="24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jc w:val="both"/>
    </w:pPr>
    <w:rPr>
      <w:rFonts w:ascii="Arial" w:hAnsi="Arial"/>
      <w:b/>
      <w:lang w:val="en-GB"/>
    </w:rPr>
  </w:style>
  <w:style w:type="paragraph" w:customStyle="1" w:styleId="auto-dateforfooter">
    <w:name w:val="auto-date for footer"/>
    <w:basedOn w:val="Normal"/>
    <w:pPr>
      <w:tabs>
        <w:tab w:val="center" w:pos="4680"/>
        <w:tab w:val="right" w:pos="9360"/>
      </w:tabs>
      <w:jc w:val="both"/>
    </w:pPr>
  </w:style>
  <w:style w:type="paragraph" w:styleId="BodyText">
    <w:name w:val="Body Text"/>
    <w:aliases w:val="bt"/>
    <w:basedOn w:val="Normal"/>
    <w:qFormat/>
    <w:pPr>
      <w:spacing w:before="240"/>
      <w:jc w:val="both"/>
    </w:pPr>
  </w:style>
  <w:style w:type="paragraph" w:styleId="BodyText2">
    <w:name w:val="Body Text 2"/>
    <w:basedOn w:val="Normal"/>
    <w:pPr>
      <w:spacing w:before="240"/>
      <w:jc w:val="both"/>
    </w:pPr>
  </w:style>
  <w:style w:type="paragraph" w:customStyle="1" w:styleId="BodyTextSingle">
    <w:name w:val="BodyTextSingle"/>
    <w:aliases w:val="bts"/>
    <w:basedOn w:val="BodyText"/>
    <w:next w:val="BodyText"/>
    <w:pPr>
      <w:spacing w:before="0"/>
      <w:jc w:val="left"/>
    </w:pPr>
  </w:style>
  <w:style w:type="character" w:styleId="CommentReference">
    <w:name w:val="annotation reference"/>
    <w:semiHidden/>
    <w:rPr>
      <w:rFonts w:ascii="Bookman Old Style" w:hAnsi="Bookman Old Style"/>
      <w:b/>
      <w:dstrike w:val="0"/>
      <w:noProof w:val="0"/>
      <w:vanish/>
      <w:color w:val="auto"/>
      <w:spacing w:val="0"/>
      <w:w w:val="100"/>
      <w:kern w:val="0"/>
      <w:position w:val="0"/>
      <w:sz w:val="28"/>
      <w:vertAlign w:val="baseline"/>
      <w:lang w:val="en-US"/>
    </w:rPr>
  </w:style>
  <w:style w:type="paragraph" w:styleId="CommentText">
    <w:name w:val="annotation text"/>
    <w:basedOn w:val="Normal"/>
    <w:link w:val="CommentTextChar"/>
    <w:semiHidden/>
    <w:pPr>
      <w:spacing w:before="120"/>
    </w:pPr>
    <w:rPr>
      <w:rFonts w:ascii="Arial" w:hAnsi="Arial"/>
    </w:rPr>
  </w:style>
  <w:style w:type="paragraph" w:styleId="Date">
    <w:name w:val="Date"/>
    <w:basedOn w:val="Normal"/>
    <w:next w:val="Normal"/>
  </w:style>
  <w:style w:type="character" w:styleId="EndnoteReference">
    <w:name w:val="endnote reference"/>
    <w:semiHidden/>
    <w:rPr>
      <w:vertAlign w:val="superscript"/>
    </w:rPr>
  </w:style>
  <w:style w:type="paragraph" w:styleId="EndnoteText">
    <w:name w:val="endnote text"/>
    <w:basedOn w:val="Normal"/>
    <w:semiHidden/>
    <w:pPr>
      <w:spacing w:after="120"/>
      <w:jc w:val="both"/>
    </w:pPr>
    <w:rPr>
      <w:rFonts w:ascii="Arial" w:hAnsi="Arial"/>
    </w:rPr>
  </w:style>
  <w:style w:type="paragraph" w:styleId="EnvelopeReturn">
    <w:name w:val="envelope return"/>
    <w:basedOn w:val="Normal"/>
    <w:pPr>
      <w:framePr w:w="4320" w:h="1440" w:hRule="exact" w:hSpace="180" w:wrap="auto" w:vAnchor="page" w:hAnchor="page" w:x="1873" w:y="1801"/>
      <w:jc w:val="both"/>
    </w:pPr>
    <w:rPr>
      <w:rFonts w:ascii="Arial" w:hAnsi="Arial"/>
      <w:sz w:val="20"/>
      <w:lang w:val="en-GB"/>
    </w:rPr>
  </w:style>
  <w:style w:type="paragraph" w:customStyle="1" w:styleId="FilenameandPath">
    <w:name w:val="Filename and Path"/>
    <w:pPr>
      <w:numPr>
        <w:numId w:val="1"/>
      </w:numPr>
      <w:tabs>
        <w:tab w:val="clear" w:pos="1440"/>
        <w:tab w:val="left" w:pos="360"/>
      </w:tabs>
      <w:spacing w:before="120"/>
      <w:ind w:left="0" w:firstLine="0"/>
      <w:jc w:val="both"/>
    </w:pPr>
    <w:rPr>
      <w:noProof/>
      <w:sz w:val="14"/>
      <w:lang w:val="en-US" w:eastAsia="en-US"/>
    </w:rPr>
  </w:style>
  <w:style w:type="character" w:styleId="FootnoteReference">
    <w:name w:val="footnote reference"/>
    <w:semiHidden/>
    <w:rPr>
      <w:position w:val="6"/>
      <w:sz w:val="16"/>
      <w:vertAlign w:val="baseline"/>
    </w:rPr>
  </w:style>
  <w:style w:type="paragraph" w:styleId="FootnoteText">
    <w:name w:val="footnote text"/>
    <w:basedOn w:val="Normal"/>
    <w:link w:val="FootnoteTextChar"/>
    <w:semiHidden/>
    <w:pPr>
      <w:spacing w:after="120"/>
      <w:jc w:val="both"/>
    </w:pPr>
    <w:rPr>
      <w:sz w:val="20"/>
    </w:rPr>
  </w:style>
  <w:style w:type="paragraph" w:customStyle="1" w:styleId="frontpage">
    <w:name w:val="front page"/>
    <w:basedOn w:val="Heading4"/>
    <w:pPr>
      <w:numPr>
        <w:ilvl w:val="0"/>
        <w:numId w:val="0"/>
      </w:numPr>
      <w:tabs>
        <w:tab w:val="num" w:pos="1440"/>
      </w:tabs>
      <w:spacing w:before="0" w:after="120"/>
      <w:ind w:left="2448" w:right="1440" w:hanging="720"/>
      <w:outlineLvl w:val="9"/>
    </w:pPr>
    <w:rPr>
      <w:rFonts w:ascii="Arial" w:hAnsi="Arial"/>
      <w:b/>
      <w:i/>
      <w:sz w:val="18"/>
    </w:rPr>
  </w:style>
  <w:style w:type="paragraph" w:styleId="Header">
    <w:name w:val="header"/>
    <w:basedOn w:val="Normal"/>
    <w:pPr>
      <w:tabs>
        <w:tab w:val="center" w:pos="4680"/>
        <w:tab w:val="right" w:pos="9360"/>
      </w:tabs>
      <w:jc w:val="both"/>
    </w:pPr>
  </w:style>
  <w:style w:type="character" w:styleId="Hyperlink">
    <w:name w:val="Hyperlink"/>
    <w:rPr>
      <w:color w:val="0000FF"/>
      <w:u w:val="single"/>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mrBullet1">
    <w:name w:val="mrBullet1"/>
    <w:aliases w:val="b1"/>
    <w:basedOn w:val="Normal"/>
    <w:qFormat/>
    <w:rsid w:val="000063E8"/>
    <w:pPr>
      <w:numPr>
        <w:numId w:val="3"/>
      </w:numPr>
      <w:spacing w:before="120"/>
      <w:jc w:val="both"/>
    </w:pPr>
  </w:style>
  <w:style w:type="paragraph" w:customStyle="1" w:styleId="mrBullet10">
    <w:name w:val="mrBullet10"/>
    <w:aliases w:val="b10"/>
    <w:basedOn w:val="Normal"/>
    <w:rsid w:val="000063E8"/>
    <w:pPr>
      <w:numPr>
        <w:numId w:val="4"/>
      </w:numPr>
      <w:spacing w:before="120"/>
      <w:jc w:val="both"/>
    </w:pPr>
  </w:style>
  <w:style w:type="paragraph" w:customStyle="1" w:styleId="mrBullet11">
    <w:name w:val="mrBullet11"/>
    <w:aliases w:val="b11"/>
    <w:basedOn w:val="Normal"/>
    <w:rsid w:val="000063E8"/>
    <w:pPr>
      <w:numPr>
        <w:numId w:val="5"/>
      </w:numPr>
      <w:spacing w:before="120"/>
      <w:jc w:val="both"/>
    </w:pPr>
  </w:style>
  <w:style w:type="paragraph" w:customStyle="1" w:styleId="mrBullet12">
    <w:name w:val="mrBullet12"/>
    <w:aliases w:val="b12"/>
    <w:basedOn w:val="Normal"/>
    <w:rsid w:val="000063E8"/>
    <w:pPr>
      <w:numPr>
        <w:numId w:val="6"/>
      </w:numPr>
      <w:spacing w:before="120"/>
      <w:jc w:val="both"/>
    </w:pPr>
  </w:style>
  <w:style w:type="paragraph" w:customStyle="1" w:styleId="mrBullet13">
    <w:name w:val="mrBullet13"/>
    <w:aliases w:val="b13"/>
    <w:basedOn w:val="Normal"/>
    <w:rsid w:val="000063E8"/>
    <w:pPr>
      <w:numPr>
        <w:numId w:val="7"/>
      </w:numPr>
      <w:spacing w:before="120"/>
      <w:jc w:val="both"/>
    </w:pPr>
  </w:style>
  <w:style w:type="paragraph" w:customStyle="1" w:styleId="mrBullet2">
    <w:name w:val="mrBullet2"/>
    <w:aliases w:val="b2"/>
    <w:basedOn w:val="Normal"/>
    <w:qFormat/>
    <w:rsid w:val="000063E8"/>
    <w:pPr>
      <w:numPr>
        <w:numId w:val="8"/>
      </w:numPr>
      <w:spacing w:before="120"/>
      <w:jc w:val="both"/>
    </w:pPr>
  </w:style>
  <w:style w:type="paragraph" w:customStyle="1" w:styleId="mrBullet4">
    <w:name w:val="mrBullet4"/>
    <w:aliases w:val="b4"/>
    <w:basedOn w:val="Normal"/>
    <w:rsid w:val="000063E8"/>
    <w:pPr>
      <w:numPr>
        <w:numId w:val="10"/>
      </w:numPr>
      <w:spacing w:before="120"/>
      <w:jc w:val="both"/>
    </w:pPr>
  </w:style>
  <w:style w:type="paragraph" w:customStyle="1" w:styleId="mrBullet3">
    <w:name w:val="mrBullet3"/>
    <w:aliases w:val="b3"/>
    <w:basedOn w:val="Normal"/>
    <w:rsid w:val="000063E8"/>
    <w:pPr>
      <w:numPr>
        <w:numId w:val="9"/>
      </w:numPr>
      <w:spacing w:before="120"/>
      <w:jc w:val="both"/>
    </w:pPr>
  </w:style>
  <w:style w:type="paragraph" w:customStyle="1" w:styleId="mrBullet5">
    <w:name w:val="mrBullet5"/>
    <w:aliases w:val="b5"/>
    <w:basedOn w:val="Normal"/>
    <w:rsid w:val="000063E8"/>
    <w:pPr>
      <w:numPr>
        <w:numId w:val="11"/>
      </w:numPr>
      <w:spacing w:before="120"/>
      <w:jc w:val="both"/>
    </w:pPr>
  </w:style>
  <w:style w:type="paragraph" w:customStyle="1" w:styleId="mrBullet6">
    <w:name w:val="mrBullet6"/>
    <w:aliases w:val="b6"/>
    <w:basedOn w:val="Normal"/>
    <w:rsid w:val="000063E8"/>
    <w:pPr>
      <w:numPr>
        <w:numId w:val="12"/>
      </w:numPr>
      <w:spacing w:before="120"/>
      <w:jc w:val="both"/>
    </w:pPr>
  </w:style>
  <w:style w:type="paragraph" w:customStyle="1" w:styleId="mrBullet7">
    <w:name w:val="mrBullet7"/>
    <w:aliases w:val="b7"/>
    <w:basedOn w:val="Normal"/>
    <w:rsid w:val="000063E8"/>
    <w:pPr>
      <w:numPr>
        <w:numId w:val="13"/>
      </w:numPr>
      <w:spacing w:before="120"/>
      <w:jc w:val="both"/>
    </w:pPr>
  </w:style>
  <w:style w:type="paragraph" w:customStyle="1" w:styleId="mrBullet8">
    <w:name w:val="mrBullet8"/>
    <w:aliases w:val="b8"/>
    <w:basedOn w:val="Normal"/>
    <w:rsid w:val="000063E8"/>
    <w:pPr>
      <w:numPr>
        <w:numId w:val="14"/>
      </w:numPr>
      <w:spacing w:before="120"/>
      <w:jc w:val="both"/>
    </w:pPr>
  </w:style>
  <w:style w:type="paragraph" w:customStyle="1" w:styleId="mrBullet9">
    <w:name w:val="mrBullet9"/>
    <w:aliases w:val="b9"/>
    <w:basedOn w:val="Normal"/>
    <w:rsid w:val="000063E8"/>
    <w:pPr>
      <w:numPr>
        <w:numId w:val="15"/>
      </w:numPr>
      <w:spacing w:before="120"/>
      <w:jc w:val="both"/>
    </w:pPr>
  </w:style>
  <w:style w:type="paragraph" w:customStyle="1" w:styleId="mrCentre1">
    <w:name w:val="mrCentre1"/>
    <w:aliases w:val="ctr1"/>
    <w:basedOn w:val="Normal"/>
    <w:next w:val="BodyText"/>
    <w:qFormat/>
    <w:pPr>
      <w:keepNext/>
      <w:spacing w:before="360"/>
      <w:jc w:val="center"/>
    </w:pPr>
    <w:rPr>
      <w:b/>
    </w:rPr>
  </w:style>
  <w:style w:type="paragraph" w:customStyle="1" w:styleId="mrCentre2">
    <w:name w:val="mrCentre2"/>
    <w:aliases w:val="ctr2"/>
    <w:basedOn w:val="Normal"/>
    <w:next w:val="BodyText"/>
    <w:qFormat/>
    <w:pPr>
      <w:keepNext/>
      <w:spacing w:before="360"/>
      <w:jc w:val="center"/>
    </w:pPr>
  </w:style>
  <w:style w:type="paragraph" w:customStyle="1" w:styleId="mrIndent">
    <w:name w:val="mrIndent"/>
    <w:aliases w:val="i1"/>
    <w:basedOn w:val="Normal"/>
    <w:qFormat/>
    <w:pPr>
      <w:spacing w:before="240"/>
      <w:ind w:left="720"/>
      <w:jc w:val="both"/>
    </w:pPr>
  </w:style>
  <w:style w:type="paragraph" w:customStyle="1" w:styleId="mrIndent2">
    <w:name w:val="mrIndent2"/>
    <w:aliases w:val="i2"/>
    <w:basedOn w:val="Normal"/>
    <w:qFormat/>
    <w:pPr>
      <w:spacing w:before="240"/>
      <w:ind w:left="1440"/>
      <w:jc w:val="both"/>
    </w:pPr>
  </w:style>
  <w:style w:type="paragraph" w:customStyle="1" w:styleId="mrIndent3">
    <w:name w:val="mrIndent3"/>
    <w:aliases w:val="i3"/>
    <w:basedOn w:val="Normal"/>
    <w:qFormat/>
    <w:pPr>
      <w:spacing w:before="240"/>
      <w:ind w:left="2160"/>
      <w:jc w:val="both"/>
    </w:pPr>
  </w:style>
  <w:style w:type="paragraph" w:customStyle="1" w:styleId="mrIndent4">
    <w:name w:val="mrIndent4"/>
    <w:aliases w:val="i4"/>
    <w:basedOn w:val="Normal"/>
    <w:qFormat/>
    <w:pPr>
      <w:spacing w:before="240"/>
      <w:ind w:left="2880"/>
      <w:jc w:val="both"/>
    </w:pPr>
  </w:style>
  <w:style w:type="paragraph" w:customStyle="1" w:styleId="mrIndent5">
    <w:name w:val="mrIndent5"/>
    <w:aliases w:val="i5"/>
    <w:basedOn w:val="Normal"/>
    <w:qFormat/>
    <w:pPr>
      <w:spacing w:before="240"/>
      <w:ind w:left="3600"/>
      <w:jc w:val="both"/>
    </w:pPr>
  </w:style>
  <w:style w:type="paragraph" w:customStyle="1" w:styleId="mrLine1Indent">
    <w:name w:val="mrLine1Indent"/>
    <w:aliases w:val="L1"/>
    <w:basedOn w:val="Normal"/>
    <w:qFormat/>
    <w:pPr>
      <w:spacing w:before="240"/>
      <w:ind w:firstLine="720"/>
      <w:jc w:val="both"/>
    </w:pPr>
  </w:style>
  <w:style w:type="paragraph" w:customStyle="1" w:styleId="mrTitle1TOC">
    <w:name w:val="mrTitle1(TOC)"/>
    <w:aliases w:val="tc1"/>
    <w:basedOn w:val="Normal"/>
    <w:next w:val="BodyText"/>
    <w:qFormat/>
    <w:pPr>
      <w:keepNext/>
      <w:spacing w:before="360"/>
    </w:pPr>
    <w:rPr>
      <w:b/>
    </w:rPr>
  </w:style>
  <w:style w:type="paragraph" w:customStyle="1" w:styleId="mrTitle2TOC">
    <w:name w:val="mrTitle2(TOC)"/>
    <w:aliases w:val="tc2"/>
    <w:basedOn w:val="Normal"/>
    <w:next w:val="BodyText"/>
    <w:qFormat/>
    <w:pPr>
      <w:keepNext/>
      <w:spacing w:before="360"/>
    </w:pPr>
  </w:style>
  <w:style w:type="paragraph" w:customStyle="1" w:styleId="mrTitleCenterBold">
    <w:name w:val="mrTitleCenterBold"/>
    <w:aliases w:val="c1"/>
    <w:basedOn w:val="Normal"/>
    <w:next w:val="Heading1"/>
    <w:qFormat/>
    <w:pPr>
      <w:keepNext/>
      <w:spacing w:before="360"/>
      <w:jc w:val="center"/>
    </w:pPr>
    <w:rPr>
      <w:b/>
      <w:u w:val="single"/>
    </w:rPr>
  </w:style>
  <w:style w:type="paragraph" w:customStyle="1" w:styleId="mrTitleCenterNoBold">
    <w:name w:val="mrTitleCenterNoBold"/>
    <w:aliases w:val="c2"/>
    <w:basedOn w:val="Normal"/>
    <w:next w:val="Heading1"/>
    <w:qFormat/>
    <w:pPr>
      <w:keepNext/>
      <w:spacing w:before="360"/>
      <w:jc w:val="center"/>
    </w:pPr>
  </w:style>
  <w:style w:type="paragraph" w:customStyle="1" w:styleId="mrTitleMarginBold">
    <w:name w:val="mrTitleMarginBold"/>
    <w:aliases w:val="m1"/>
    <w:basedOn w:val="Normal"/>
    <w:next w:val="Heading1"/>
    <w:qFormat/>
    <w:pPr>
      <w:keepNext/>
      <w:spacing w:before="360"/>
    </w:pPr>
    <w:rPr>
      <w:b/>
    </w:rPr>
  </w:style>
  <w:style w:type="paragraph" w:customStyle="1" w:styleId="Quote1">
    <w:name w:val="Quote1"/>
    <w:aliases w:val="quote"/>
    <w:basedOn w:val="Normal"/>
    <w:qFormat/>
    <w:pPr>
      <w:spacing w:before="240"/>
      <w:ind w:left="1440" w:right="1440"/>
      <w:jc w:val="both"/>
    </w:pPr>
    <w:rPr>
      <w:sz w:val="20"/>
    </w:rPr>
  </w:style>
  <w:style w:type="paragraph" w:styleId="TOC1">
    <w:name w:val="toc 1"/>
    <w:basedOn w:val="Normal"/>
    <w:next w:val="Normal"/>
    <w:autoRedefine/>
    <w:semiHidden/>
    <w:pPr>
      <w:tabs>
        <w:tab w:val="left" w:pos="1440"/>
        <w:tab w:val="right" w:leader="dot" w:pos="9360"/>
      </w:tabs>
      <w:ind w:left="720" w:hanging="720"/>
    </w:pPr>
    <w:rPr>
      <w:b/>
      <w:caps/>
    </w:rPr>
  </w:style>
  <w:style w:type="paragraph" w:styleId="TOC2">
    <w:name w:val="toc 2"/>
    <w:basedOn w:val="Normal"/>
    <w:next w:val="Normal"/>
    <w:autoRedefine/>
    <w:semiHidden/>
    <w:pPr>
      <w:ind w:left="2160" w:hanging="1440"/>
    </w:pPr>
    <w:rPr>
      <w:sz w:val="20"/>
    </w:rPr>
  </w:style>
  <w:style w:type="paragraph" w:styleId="TOC3">
    <w:name w:val="toc 3"/>
    <w:basedOn w:val="Normal"/>
    <w:next w:val="Normal"/>
    <w:autoRedefine/>
    <w:semiHidden/>
    <w:pPr>
      <w:ind w:left="3600" w:hanging="2160"/>
    </w:pPr>
    <w:rPr>
      <w:i/>
      <w:sz w:val="18"/>
    </w:rPr>
  </w:style>
  <w:style w:type="paragraph" w:customStyle="1" w:styleId="mrTitleMarginNoBold">
    <w:name w:val="mrTitleMarginNoBold"/>
    <w:aliases w:val="m2"/>
    <w:basedOn w:val="Normal"/>
    <w:next w:val="Heading1"/>
    <w:qFormat/>
    <w:pPr>
      <w:keepNext/>
      <w:spacing w:before="360"/>
    </w:pPr>
  </w:style>
  <w:style w:type="paragraph" w:styleId="Signature">
    <w:name w:val="Signature"/>
    <w:aliases w:val="sign"/>
    <w:basedOn w:val="Normal"/>
    <w:qFormat/>
    <w:pPr>
      <w:keepNext/>
      <w:ind w:left="4320"/>
    </w:pPr>
    <w:rPr>
      <w:b/>
    </w:rPr>
  </w:style>
  <w:style w:type="paragraph" w:styleId="Footer">
    <w:name w:val="footer"/>
    <w:basedOn w:val="Normal"/>
    <w:pPr>
      <w:tabs>
        <w:tab w:val="center" w:pos="4680"/>
        <w:tab w:val="right" w:pos="9360"/>
      </w:tabs>
    </w:pPr>
  </w:style>
  <w:style w:type="character" w:styleId="FollowedHyperlink">
    <w:name w:val="FollowedHyperlink"/>
    <w:rPr>
      <w:color w:val="000080"/>
      <w:u w:val="single"/>
    </w:rPr>
  </w:style>
  <w:style w:type="paragraph" w:customStyle="1" w:styleId="mrBullet14">
    <w:name w:val="mrBullet14"/>
    <w:aliases w:val="b14"/>
    <w:basedOn w:val="Normal"/>
    <w:rsid w:val="000063E8"/>
    <w:pPr>
      <w:numPr>
        <w:numId w:val="16"/>
      </w:numPr>
      <w:spacing w:before="120"/>
      <w:jc w:val="both"/>
    </w:pPr>
  </w:style>
  <w:style w:type="paragraph" w:customStyle="1" w:styleId="Cite">
    <w:name w:val="Cite"/>
    <w:aliases w:val="cite"/>
    <w:basedOn w:val="BodyText"/>
    <w:qFormat/>
    <w:pPr>
      <w:ind w:left="5040"/>
    </w:pPr>
  </w:style>
  <w:style w:type="paragraph" w:customStyle="1" w:styleId="mrBullet15">
    <w:name w:val="mrBullet15"/>
    <w:aliases w:val="b15"/>
    <w:basedOn w:val="Normal"/>
    <w:rsid w:val="000063E8"/>
    <w:pPr>
      <w:numPr>
        <w:numId w:val="17"/>
      </w:numPr>
      <w:spacing w:before="120"/>
      <w:jc w:val="both"/>
    </w:pPr>
  </w:style>
  <w:style w:type="paragraph" w:styleId="BalloonText">
    <w:name w:val="Balloon Text"/>
    <w:basedOn w:val="Normal"/>
    <w:link w:val="BalloonTextChar"/>
    <w:rsid w:val="004F4EBD"/>
    <w:rPr>
      <w:rFonts w:ascii="Tahoma" w:hAnsi="Tahoma" w:cs="Tahoma"/>
      <w:sz w:val="16"/>
      <w:szCs w:val="16"/>
    </w:rPr>
  </w:style>
  <w:style w:type="character" w:customStyle="1" w:styleId="BalloonTextChar">
    <w:name w:val="Balloon Text Char"/>
    <w:link w:val="BalloonText"/>
    <w:rsid w:val="004F4EBD"/>
    <w:rPr>
      <w:rFonts w:ascii="Tahoma" w:hAnsi="Tahoma" w:cs="Tahoma"/>
      <w:sz w:val="16"/>
      <w:szCs w:val="16"/>
      <w:lang w:val="en-US" w:eastAsia="en-US"/>
    </w:rPr>
  </w:style>
  <w:style w:type="paragraph" w:styleId="ListParagraph">
    <w:name w:val="List Paragraph"/>
    <w:basedOn w:val="Normal"/>
    <w:uiPriority w:val="34"/>
    <w:qFormat/>
    <w:rsid w:val="00BE1222"/>
    <w:pPr>
      <w:ind w:left="720"/>
      <w:contextualSpacing/>
    </w:pPr>
  </w:style>
  <w:style w:type="paragraph" w:styleId="CommentSubject">
    <w:name w:val="annotation subject"/>
    <w:basedOn w:val="CommentText"/>
    <w:next w:val="CommentText"/>
    <w:link w:val="CommentSubjectChar"/>
    <w:rsid w:val="0024548E"/>
    <w:pPr>
      <w:spacing w:before="0"/>
    </w:pPr>
    <w:rPr>
      <w:rFonts w:ascii="Times New Roman" w:hAnsi="Times New Roman"/>
      <w:b/>
      <w:bCs/>
      <w:sz w:val="20"/>
    </w:rPr>
  </w:style>
  <w:style w:type="character" w:customStyle="1" w:styleId="CommentTextChar">
    <w:name w:val="Comment Text Char"/>
    <w:basedOn w:val="DefaultParagraphFont"/>
    <w:link w:val="CommentText"/>
    <w:semiHidden/>
    <w:rsid w:val="0024548E"/>
    <w:rPr>
      <w:rFonts w:ascii="Arial" w:hAnsi="Arial"/>
      <w:sz w:val="22"/>
      <w:lang w:val="en-US" w:eastAsia="en-US"/>
    </w:rPr>
  </w:style>
  <w:style w:type="character" w:customStyle="1" w:styleId="CommentSubjectChar">
    <w:name w:val="Comment Subject Char"/>
    <w:basedOn w:val="CommentTextChar"/>
    <w:link w:val="CommentSubject"/>
    <w:rsid w:val="0024548E"/>
    <w:rPr>
      <w:rFonts w:ascii="Arial" w:hAnsi="Arial"/>
      <w:b/>
      <w:bCs/>
      <w:sz w:val="22"/>
      <w:lang w:val="en-US" w:eastAsia="en-US"/>
    </w:rPr>
  </w:style>
  <w:style w:type="character" w:customStyle="1" w:styleId="FootnoteTextChar">
    <w:name w:val="Footnote Text Char"/>
    <w:basedOn w:val="DefaultParagraphFont"/>
    <w:link w:val="FootnoteText"/>
    <w:semiHidden/>
    <w:rsid w:val="00217A5A"/>
    <w:rPr>
      <w:lang w:val="en-US" w:eastAsia="en-US"/>
    </w:rPr>
  </w:style>
  <w:style w:type="table" w:styleId="MediumGrid3-Accent5">
    <w:name w:val="Medium Grid 3 Accent 5"/>
    <w:basedOn w:val="TableNormal"/>
    <w:uiPriority w:val="69"/>
    <w:rsid w:val="00784D43"/>
    <w:rPr>
      <w:rFonts w:asciiTheme="minorHAnsi" w:eastAsiaTheme="minorHAnsi" w:hAnsiTheme="minorHAnsi" w:cstheme="minorBidi"/>
      <w:sz w:val="22"/>
      <w:szCs w:val="22"/>
      <w:lang w:eastAsia="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912038">
      <w:bodyDiv w:val="1"/>
      <w:marLeft w:val="0"/>
      <w:marRight w:val="0"/>
      <w:marTop w:val="0"/>
      <w:marBottom w:val="0"/>
      <w:divBdr>
        <w:top w:val="none" w:sz="0" w:space="0" w:color="auto"/>
        <w:left w:val="none" w:sz="0" w:space="0" w:color="auto"/>
        <w:bottom w:val="none" w:sz="0" w:space="0" w:color="auto"/>
        <w:right w:val="none" w:sz="0" w:space="0" w:color="auto"/>
      </w:divBdr>
    </w:div>
    <w:div w:id="1436365761">
      <w:bodyDiv w:val="1"/>
      <w:marLeft w:val="0"/>
      <w:marRight w:val="0"/>
      <w:marTop w:val="0"/>
      <w:marBottom w:val="0"/>
      <w:divBdr>
        <w:top w:val="none" w:sz="0" w:space="0" w:color="auto"/>
        <w:left w:val="none" w:sz="0" w:space="0" w:color="auto"/>
        <w:bottom w:val="none" w:sz="0" w:space="0" w:color="auto"/>
        <w:right w:val="none" w:sz="0" w:space="0" w:color="auto"/>
      </w:divBdr>
      <w:divsChild>
        <w:div w:id="1709988966">
          <w:marLeft w:val="0"/>
          <w:marRight w:val="0"/>
          <w:marTop w:val="0"/>
          <w:marBottom w:val="0"/>
          <w:divBdr>
            <w:top w:val="none" w:sz="0" w:space="0" w:color="auto"/>
            <w:left w:val="none" w:sz="0" w:space="0" w:color="auto"/>
            <w:bottom w:val="none" w:sz="0" w:space="0" w:color="auto"/>
            <w:right w:val="none" w:sz="0" w:space="0" w:color="auto"/>
          </w:divBdr>
          <w:divsChild>
            <w:div w:id="433403367">
              <w:marLeft w:val="0"/>
              <w:marRight w:val="0"/>
              <w:marTop w:val="0"/>
              <w:marBottom w:val="0"/>
              <w:divBdr>
                <w:top w:val="none" w:sz="0" w:space="0" w:color="auto"/>
                <w:left w:val="none" w:sz="0" w:space="0" w:color="auto"/>
                <w:bottom w:val="none" w:sz="0" w:space="0" w:color="auto"/>
                <w:right w:val="none" w:sz="0" w:space="0" w:color="auto"/>
              </w:divBdr>
              <w:divsChild>
                <w:div w:id="2118013888">
                  <w:marLeft w:val="0"/>
                  <w:marRight w:val="0"/>
                  <w:marTop w:val="0"/>
                  <w:marBottom w:val="0"/>
                  <w:divBdr>
                    <w:top w:val="none" w:sz="0" w:space="0" w:color="auto"/>
                    <w:left w:val="none" w:sz="0" w:space="0" w:color="auto"/>
                    <w:bottom w:val="none" w:sz="0" w:space="0" w:color="auto"/>
                    <w:right w:val="none" w:sz="0" w:space="0" w:color="auto"/>
                  </w:divBdr>
                  <w:divsChild>
                    <w:div w:id="1623538855">
                      <w:marLeft w:val="0"/>
                      <w:marRight w:val="0"/>
                      <w:marTop w:val="0"/>
                      <w:marBottom w:val="0"/>
                      <w:divBdr>
                        <w:top w:val="none" w:sz="0" w:space="0" w:color="auto"/>
                        <w:left w:val="none" w:sz="0" w:space="0" w:color="auto"/>
                        <w:bottom w:val="none" w:sz="0" w:space="0" w:color="auto"/>
                        <w:right w:val="none" w:sz="0" w:space="0" w:color="auto"/>
                      </w:divBdr>
                      <w:divsChild>
                        <w:div w:id="795024018">
                          <w:marLeft w:val="0"/>
                          <w:marRight w:val="0"/>
                          <w:marTop w:val="300"/>
                          <w:marBottom w:val="0"/>
                          <w:divBdr>
                            <w:top w:val="none" w:sz="0" w:space="0" w:color="auto"/>
                            <w:left w:val="none" w:sz="0" w:space="0" w:color="auto"/>
                            <w:bottom w:val="none" w:sz="0" w:space="0" w:color="auto"/>
                            <w:right w:val="none" w:sz="0" w:space="0" w:color="auto"/>
                          </w:divBdr>
                          <w:divsChild>
                            <w:div w:id="1911648989">
                              <w:marLeft w:val="0"/>
                              <w:marRight w:val="0"/>
                              <w:marTop w:val="0"/>
                              <w:marBottom w:val="315"/>
                              <w:divBdr>
                                <w:top w:val="none" w:sz="0" w:space="0" w:color="auto"/>
                                <w:left w:val="none" w:sz="0" w:space="0" w:color="auto"/>
                                <w:bottom w:val="none" w:sz="0" w:space="0" w:color="auto"/>
                                <w:right w:val="none" w:sz="0" w:space="0" w:color="auto"/>
                              </w:divBdr>
                              <w:divsChild>
                                <w:div w:id="2084912355">
                                  <w:marLeft w:val="0"/>
                                  <w:marRight w:val="0"/>
                                  <w:marTop w:val="0"/>
                                  <w:marBottom w:val="0"/>
                                  <w:divBdr>
                                    <w:top w:val="none" w:sz="0" w:space="0" w:color="auto"/>
                                    <w:left w:val="none" w:sz="0" w:space="0" w:color="auto"/>
                                    <w:bottom w:val="none" w:sz="0" w:space="0" w:color="auto"/>
                                    <w:right w:val="none" w:sz="0" w:space="0" w:color="auto"/>
                                  </w:divBdr>
                                  <w:divsChild>
                                    <w:div w:id="1744522525">
                                      <w:marLeft w:val="0"/>
                                      <w:marRight w:val="4"/>
                                      <w:marTop w:val="0"/>
                                      <w:marBottom w:val="0"/>
                                      <w:divBdr>
                                        <w:top w:val="none" w:sz="0" w:space="0" w:color="auto"/>
                                        <w:left w:val="none" w:sz="0" w:space="0" w:color="auto"/>
                                        <w:bottom w:val="none" w:sz="0" w:space="0" w:color="auto"/>
                                        <w:right w:val="none" w:sz="0" w:space="0" w:color="auto"/>
                                      </w:divBdr>
                                      <w:divsChild>
                                        <w:div w:id="18966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887273">
      <w:bodyDiv w:val="1"/>
      <w:marLeft w:val="0"/>
      <w:marRight w:val="0"/>
      <w:marTop w:val="0"/>
      <w:marBottom w:val="0"/>
      <w:divBdr>
        <w:top w:val="none" w:sz="0" w:space="0" w:color="auto"/>
        <w:left w:val="none" w:sz="0" w:space="0" w:color="auto"/>
        <w:bottom w:val="none" w:sz="0" w:space="0" w:color="auto"/>
        <w:right w:val="none" w:sz="0" w:space="0" w:color="auto"/>
      </w:divBdr>
    </w:div>
    <w:div w:id="1897620142">
      <w:bodyDiv w:val="1"/>
      <w:marLeft w:val="0"/>
      <w:marRight w:val="0"/>
      <w:marTop w:val="0"/>
      <w:marBottom w:val="0"/>
      <w:divBdr>
        <w:top w:val="none" w:sz="0" w:space="0" w:color="auto"/>
        <w:left w:val="none" w:sz="0" w:space="0" w:color="auto"/>
        <w:bottom w:val="none" w:sz="0" w:space="0" w:color="auto"/>
        <w:right w:val="none" w:sz="0" w:space="0" w:color="auto"/>
      </w:divBdr>
      <w:divsChild>
        <w:div w:id="318390856">
          <w:marLeft w:val="0"/>
          <w:marRight w:val="0"/>
          <w:marTop w:val="0"/>
          <w:marBottom w:val="0"/>
          <w:divBdr>
            <w:top w:val="none" w:sz="0" w:space="0" w:color="auto"/>
            <w:left w:val="none" w:sz="0" w:space="0" w:color="auto"/>
            <w:bottom w:val="none" w:sz="0" w:space="0" w:color="auto"/>
            <w:right w:val="none" w:sz="0" w:space="0" w:color="auto"/>
          </w:divBdr>
          <w:divsChild>
            <w:div w:id="1836072558">
              <w:marLeft w:val="0"/>
              <w:marRight w:val="0"/>
              <w:marTop w:val="0"/>
              <w:marBottom w:val="0"/>
              <w:divBdr>
                <w:top w:val="none" w:sz="0" w:space="0" w:color="auto"/>
                <w:left w:val="none" w:sz="0" w:space="0" w:color="auto"/>
                <w:bottom w:val="none" w:sz="0" w:space="0" w:color="auto"/>
                <w:right w:val="none" w:sz="0" w:space="0" w:color="auto"/>
              </w:divBdr>
              <w:divsChild>
                <w:div w:id="345908346">
                  <w:marLeft w:val="0"/>
                  <w:marRight w:val="0"/>
                  <w:marTop w:val="0"/>
                  <w:marBottom w:val="0"/>
                  <w:divBdr>
                    <w:top w:val="none" w:sz="0" w:space="0" w:color="auto"/>
                    <w:left w:val="none" w:sz="0" w:space="0" w:color="auto"/>
                    <w:bottom w:val="none" w:sz="0" w:space="0" w:color="auto"/>
                    <w:right w:val="none" w:sz="0" w:space="0" w:color="auto"/>
                  </w:divBdr>
                  <w:divsChild>
                    <w:div w:id="489251294">
                      <w:marLeft w:val="0"/>
                      <w:marRight w:val="0"/>
                      <w:marTop w:val="0"/>
                      <w:marBottom w:val="0"/>
                      <w:divBdr>
                        <w:top w:val="none" w:sz="0" w:space="0" w:color="auto"/>
                        <w:left w:val="none" w:sz="0" w:space="0" w:color="auto"/>
                        <w:bottom w:val="none" w:sz="0" w:space="0" w:color="auto"/>
                        <w:right w:val="none" w:sz="0" w:space="0" w:color="auto"/>
                      </w:divBdr>
                      <w:divsChild>
                        <w:div w:id="486560184">
                          <w:marLeft w:val="0"/>
                          <w:marRight w:val="0"/>
                          <w:marTop w:val="300"/>
                          <w:marBottom w:val="0"/>
                          <w:divBdr>
                            <w:top w:val="none" w:sz="0" w:space="0" w:color="auto"/>
                            <w:left w:val="none" w:sz="0" w:space="0" w:color="auto"/>
                            <w:bottom w:val="none" w:sz="0" w:space="0" w:color="auto"/>
                            <w:right w:val="none" w:sz="0" w:space="0" w:color="auto"/>
                          </w:divBdr>
                          <w:divsChild>
                            <w:div w:id="41563707">
                              <w:marLeft w:val="0"/>
                              <w:marRight w:val="0"/>
                              <w:marTop w:val="0"/>
                              <w:marBottom w:val="315"/>
                              <w:divBdr>
                                <w:top w:val="none" w:sz="0" w:space="0" w:color="auto"/>
                                <w:left w:val="none" w:sz="0" w:space="0" w:color="auto"/>
                                <w:bottom w:val="none" w:sz="0" w:space="0" w:color="auto"/>
                                <w:right w:val="none" w:sz="0" w:space="0" w:color="auto"/>
                              </w:divBdr>
                              <w:divsChild>
                                <w:div w:id="58943692">
                                  <w:marLeft w:val="0"/>
                                  <w:marRight w:val="0"/>
                                  <w:marTop w:val="0"/>
                                  <w:marBottom w:val="0"/>
                                  <w:divBdr>
                                    <w:top w:val="none" w:sz="0" w:space="0" w:color="auto"/>
                                    <w:left w:val="none" w:sz="0" w:space="0" w:color="auto"/>
                                    <w:bottom w:val="none" w:sz="0" w:space="0" w:color="auto"/>
                                    <w:right w:val="none" w:sz="0" w:space="0" w:color="auto"/>
                                  </w:divBdr>
                                  <w:divsChild>
                                    <w:div w:id="458763664">
                                      <w:marLeft w:val="0"/>
                                      <w:marRight w:val="4"/>
                                      <w:marTop w:val="0"/>
                                      <w:marBottom w:val="0"/>
                                      <w:divBdr>
                                        <w:top w:val="none" w:sz="0" w:space="0" w:color="auto"/>
                                        <w:left w:val="none" w:sz="0" w:space="0" w:color="auto"/>
                                        <w:bottom w:val="none" w:sz="0" w:space="0" w:color="auto"/>
                                        <w:right w:val="none" w:sz="0" w:space="0" w:color="auto"/>
                                      </w:divBdr>
                                      <w:divsChild>
                                        <w:div w:id="20639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498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RCustom\MRTemplates\Memo%20Mas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5F3B3-CA45-41CD-B4E4-230AEA019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Master</Template>
  <TotalTime>0</TotalTime>
  <Pages>11</Pages>
  <Words>4336</Words>
  <Characters>24718</Characters>
  <Application>Microsoft Office Word</Application>
  <DocSecurity>0</DocSecurity>
  <PresentationFormat/>
  <Lines>205</Lines>
  <Paragraphs>57</Paragraphs>
  <ScaleCrop>false</ScaleCrop>
  <HeadingPairs>
    <vt:vector size="2" baseType="variant">
      <vt:variant>
        <vt:lpstr>Title</vt:lpstr>
      </vt:variant>
      <vt:variant>
        <vt:i4>1</vt:i4>
      </vt:variant>
    </vt:vector>
  </HeadingPairs>
  <TitlesOfParts>
    <vt:vector size="1" baseType="lpstr">
      <vt:lpstr>PCN IMA ISA Memo With Final Changes - 05/01/16 - Clean (01219682).DOCX</vt:lpstr>
    </vt:vector>
  </TitlesOfParts>
  <Company>McLennan Ross</Company>
  <LinksUpToDate>false</LinksUpToDate>
  <CharactersWithSpaces>28997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PCN IMA ISA Memo With Final Changes - 05/01/16 - Clean (01219682).DOCX</dc:title>
  <dc:creator>Jon Rossall</dc:creator>
  <cp:lastModifiedBy>Stephanie Usher</cp:lastModifiedBy>
  <cp:revision>2</cp:revision>
  <cp:lastPrinted>2016-01-21T22:31:00Z</cp:lastPrinted>
  <dcterms:created xsi:type="dcterms:W3CDTF">2016-04-13T16:55:00Z</dcterms:created>
  <dcterms:modified xsi:type="dcterms:W3CDTF">2016-04-13T16:55:00Z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1444694866</vt:i4>
  </property>
  <property fmtid="{D5CDD505-2E9C-101B-9397-08002B2CF9AE}" pid="4" name="_EmailSubject">
    <vt:lpwstr>Website updates...finally!</vt:lpwstr>
  </property>
  <property fmtid="{D5CDD505-2E9C-101B-9397-08002B2CF9AE}" pid="5" name="_AuthorEmail">
    <vt:lpwstr>Caroline.Garland@albertadoctors.org</vt:lpwstr>
  </property>
  <property fmtid="{D5CDD505-2E9C-101B-9397-08002B2CF9AE}" pid="6" name="_AuthorEmailDisplayName">
    <vt:lpwstr>Caroline Garland</vt:lpwstr>
  </property>
  <property fmtid="{D5CDD505-2E9C-101B-9397-08002B2CF9AE}" pid="7" name="_ReviewingToolsShownOnce">
    <vt:lpwstr/>
  </property>
</Properties>
</file>